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5D" w:rsidRDefault="004E4E5D">
      <w:pPr>
        <w:pStyle w:val="ConsPlusTitle"/>
        <w:ind w:left="4535"/>
        <w:jc w:val="right"/>
      </w:pPr>
      <w:r>
        <w:rPr>
          <w:rFonts w:ascii="Times New Roman" w:hAnsi="Times New Roman" w:cs="Times New Roman"/>
          <w:b w:val="0"/>
        </w:rPr>
        <w:t xml:space="preserve">Утверждена                                                                                                           постановлением администрации                                                                                                  Шатковского муниципального района                                                                                                     Нижегородской области </w:t>
      </w:r>
      <w:r>
        <w:rPr>
          <w:rFonts w:ascii="Times New Roman" w:hAnsi="Times New Roman" w:cs="Times New Roman"/>
          <w:b w:val="0"/>
        </w:rPr>
        <w:tab/>
        <w:t xml:space="preserve">                                                                                                               от   ______________г.   № </w:t>
      </w:r>
      <w:bookmarkStart w:id="0" w:name="_GoBack"/>
      <w:bookmarkEnd w:id="0"/>
      <w:r>
        <w:rPr>
          <w:rFonts w:ascii="Times New Roman" w:hAnsi="Times New Roman" w:cs="Times New Roman"/>
          <w:b w:val="0"/>
        </w:rPr>
        <w:t xml:space="preserve">____                                 </w:t>
      </w:r>
    </w:p>
    <w:p w:rsidR="004E4E5D" w:rsidRDefault="004E4E5D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4E4E5D" w:rsidRDefault="004E4E5D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Муниципальная программа</w:t>
      </w:r>
    </w:p>
    <w:p w:rsidR="004E4E5D" w:rsidRDefault="004E4E5D">
      <w:pPr>
        <w:pStyle w:val="ConsPlusTitle"/>
        <w:jc w:val="center"/>
      </w:pPr>
      <w:r>
        <w:rPr>
          <w:rFonts w:ascii="Times New Roman" w:hAnsi="Times New Roman" w:cs="Times New Roman"/>
          <w:szCs w:val="24"/>
        </w:rPr>
        <w:t>«Улучшение условий и охраны труда в Шатковском</w:t>
      </w:r>
    </w:p>
    <w:p w:rsidR="004E4E5D" w:rsidRDefault="004E4E5D">
      <w:pPr>
        <w:pStyle w:val="ConsPlusTitle"/>
        <w:jc w:val="center"/>
      </w:pPr>
      <w:r>
        <w:rPr>
          <w:rFonts w:ascii="Times New Roman" w:hAnsi="Times New Roman" w:cs="Times New Roman"/>
          <w:szCs w:val="24"/>
        </w:rPr>
        <w:t>муниципальном районе Нижегородской области на 2019 - 2021 годы»</w:t>
      </w:r>
    </w:p>
    <w:p w:rsidR="004E4E5D" w:rsidRDefault="004E4E5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jc w:val="center"/>
        <w:outlineLvl w:val="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Паспорт муниципальной программы</w:t>
      </w:r>
    </w:p>
    <w:p w:rsidR="004E4E5D" w:rsidRDefault="004E4E5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jc w:val="center"/>
        <w:outlineLvl w:val="2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667" w:type="dxa"/>
        <w:tblInd w:w="-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-5" w:type="dxa"/>
          <w:bottom w:w="102" w:type="dxa"/>
          <w:right w:w="62" w:type="dxa"/>
        </w:tblCellMar>
        <w:tblLook w:val="0000"/>
      </w:tblPr>
      <w:tblGrid>
        <w:gridCol w:w="2552"/>
        <w:gridCol w:w="7115"/>
      </w:tblGrid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jc w:val="both"/>
            </w:pPr>
            <w:r>
              <w:t>Наименование 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Title"/>
              <w:jc w:val="center"/>
              <w:rPr>
                <w:b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«Улучшение условий и охраны труда в Шатковском</w:t>
            </w:r>
          </w:p>
          <w:p w:rsidR="004E4E5D" w:rsidRDefault="004E4E5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муниципальном районе Нижегородской области на 2019 - 2021 годы»</w:t>
            </w: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r>
              <w:t>Основание для</w:t>
            </w:r>
            <w:r>
              <w:br/>
              <w:t>разработки муниципальной программы (наименование, номер и дата  правового акта)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Default="004E4E5D">
            <w:pPr>
              <w:jc w:val="both"/>
            </w:pPr>
            <w:r>
              <w:rPr>
                <w:sz w:val="22"/>
                <w:szCs w:val="22"/>
                <w:lang w:eastAsia="en-US"/>
              </w:rPr>
              <w:t>Трудовой кодекс Российской Федерации;</w:t>
            </w:r>
          </w:p>
          <w:p w:rsidR="004E4E5D" w:rsidRDefault="004E4E5D">
            <w:pPr>
              <w:jc w:val="both"/>
            </w:pPr>
            <w:r>
              <w:rPr>
                <w:sz w:val="22"/>
                <w:szCs w:val="22"/>
                <w:lang w:eastAsia="en-US"/>
              </w:rPr>
              <w:t>Федеральный закон от 21.11.2011 N 323-ФЗ «Об основах охраны здоровья граждан в Российской Федерации»;</w:t>
            </w:r>
          </w:p>
          <w:p w:rsidR="004E4E5D" w:rsidRDefault="004E4E5D">
            <w:pPr>
              <w:jc w:val="both"/>
            </w:pPr>
            <w:r>
              <w:rPr>
                <w:sz w:val="22"/>
                <w:szCs w:val="22"/>
                <w:lang w:eastAsia="en-US"/>
              </w:rPr>
              <w:t>Федеральный закон от 24 июля 1998 года N125-ФЗ «Об обязательном</w:t>
            </w:r>
          </w:p>
          <w:p w:rsidR="004E4E5D" w:rsidRDefault="004E4E5D">
            <w:pPr>
              <w:jc w:val="both"/>
            </w:pPr>
            <w:r>
              <w:rPr>
                <w:sz w:val="22"/>
                <w:szCs w:val="22"/>
                <w:lang w:eastAsia="en-US"/>
              </w:rPr>
              <w:t>социальном страховании от несчастных случаев на производстве</w:t>
            </w:r>
          </w:p>
          <w:p w:rsidR="004E4E5D" w:rsidRDefault="004E4E5D">
            <w:pPr>
              <w:jc w:val="both"/>
            </w:pPr>
            <w:r>
              <w:rPr>
                <w:sz w:val="22"/>
                <w:szCs w:val="22"/>
                <w:lang w:eastAsia="en-US"/>
              </w:rPr>
              <w:t>и профессиональных заболеваний»;</w:t>
            </w:r>
          </w:p>
          <w:p w:rsidR="004E4E5D" w:rsidRDefault="004E4E5D">
            <w:pPr>
              <w:jc w:val="both"/>
            </w:pPr>
            <w:r>
              <w:rPr>
                <w:sz w:val="22"/>
                <w:szCs w:val="22"/>
                <w:lang w:eastAsia="en-US"/>
              </w:rPr>
              <w:t>Федеральный закон от 30 марта 1999 года N52-ФЗ «О санитарно-эпидемиологическом благополучии населения»</w:t>
            </w:r>
          </w:p>
          <w:p w:rsidR="004E4E5D" w:rsidRDefault="004E4E5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 Нижегородской области от 03.02.2010 N 9-З «Об охране труда в Нижегородской области»</w:t>
            </w: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jc w:val="both"/>
            </w:pPr>
            <w:r>
              <w:t>Муниципальный заказчик-координатор 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>Администрация Шатковского муниципального района Нижегородской области</w:t>
            </w: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Соисполнители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- Сектор по опеке, попечительству и социальным вопросам администрации Шатковского муниципального района Нижегородской области;</w:t>
            </w:r>
          </w:p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- организации и учреждения Шатковского муниципального района (при условии участия) </w:t>
            </w: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Подпрограммы муниципальной программы 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Default="004E4E5D">
            <w:pPr>
              <w:pStyle w:val="ListParagraph"/>
            </w:pPr>
            <w:r>
              <w:t xml:space="preserve"> нет</w:t>
            </w: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Цель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bookmarkStart w:id="1" w:name="__DdeLink__2305_849059330"/>
            <w:bookmarkEnd w:id="1"/>
            <w:r>
              <w:rPr>
                <w:rFonts w:ascii="Times New Roman" w:hAnsi="Times New Roman" w:cs="Times New Roman"/>
                <w:szCs w:val="24"/>
              </w:rPr>
              <w:t>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Шатковского муниципального района</w:t>
            </w:r>
          </w:p>
          <w:p w:rsidR="004E4E5D" w:rsidRDefault="004E4E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Задачи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- содействие  созданию безопасных условий и обеспечение охраны труда в учреждениях муниципального района;</w:t>
            </w:r>
          </w:p>
          <w:p w:rsidR="004E4E5D" w:rsidRPr="00D874B2" w:rsidRDefault="004E4E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- обеспечение непрерывной подготовки работников по вопросам охраны труда на основе современных технологий обучения;</w:t>
            </w:r>
          </w:p>
          <w:p w:rsidR="004E4E5D" w:rsidRPr="00D874B2" w:rsidRDefault="004E4E5D">
            <w:pPr>
              <w:pStyle w:val="ConsPlusNormal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- совершенствование нормативной правовой базы в области охраны труда в Шатковском муниципальном районе;</w:t>
            </w:r>
          </w:p>
          <w:p w:rsidR="004E4E5D" w:rsidRDefault="004E4E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информационное обеспечение и пропаганда охраны труда;</w:t>
            </w:r>
          </w:p>
          <w:p w:rsidR="004E4E5D" w:rsidRDefault="004E4E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2" w:name="__DdeLink__8170_485828737"/>
            <w:bookmarkEnd w:id="2"/>
            <w:r>
              <w:rPr>
                <w:rFonts w:ascii="Times New Roman" w:hAnsi="Times New Roman" w:cs="Times New Roman"/>
                <w:szCs w:val="24"/>
              </w:rPr>
              <w:t>- совершенствование лечебно – профилактического обслуживания работающего населения</w:t>
            </w: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реализуется в один этап в течение </w:t>
            </w:r>
          </w:p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2019 – 2021 гг.</w:t>
            </w:r>
          </w:p>
          <w:p w:rsidR="004E4E5D" w:rsidRDefault="004E4E5D"/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Объемы бюджетных ассигнований муниципальной программы за счет всех источников финансирования (в разбивке по подпрограммам)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Собственные средства предприятий, организаций всех форм собственности Шатковского муниципального района</w:t>
            </w:r>
          </w:p>
          <w:p w:rsidR="004E4E5D" w:rsidRDefault="004E4E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E4E5D">
        <w:tc>
          <w:tcPr>
            <w:tcW w:w="255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711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/>
              </w:rPr>
              <w:t>- численность  пострадавших в результате несчастных случаев  на производстве  с утратой трудоспособности на 1 рабочий день и более  из расчета на 1000 работающих  - 0,1;</w:t>
            </w:r>
          </w:p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/>
              </w:rPr>
              <w:t>- численность пострадавших в результате несчастных случаев на производстве со смертельным исходом  (человек) - 0;</w:t>
            </w:r>
          </w:p>
          <w:p w:rsidR="004E4E5D" w:rsidRPr="00D874B2" w:rsidRDefault="004E4E5D">
            <w:pPr>
              <w:pStyle w:val="ConsPlusNormal"/>
            </w:pPr>
            <w:r>
              <w:t>-</w:t>
            </w:r>
            <w:r>
              <w:rPr>
                <w:rFonts w:ascii="Times New Roman" w:hAnsi="Times New Roman"/>
              </w:rPr>
              <w:t xml:space="preserve"> количество проведенных мероприятий по ведомственному контролю по соблюдению трудового законодательства в подведомственных учреждениях — 3;</w:t>
            </w:r>
          </w:p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/>
              </w:rPr>
              <w:t xml:space="preserve">- количество опубликованных материалов по вопросам охраны труда в районной газете «Новый путь» и на официальном сайте администрации Шатковского муниципального района — 9. </w:t>
            </w:r>
          </w:p>
        </w:tc>
      </w:tr>
    </w:tbl>
    <w:p w:rsidR="004E4E5D" w:rsidRDefault="004E4E5D">
      <w:pPr>
        <w:pStyle w:val="ConsPlusNormal"/>
        <w:jc w:val="center"/>
        <w:rPr>
          <w:rFonts w:ascii="Times New Roman" w:hAnsi="Times New Roman" w:cs="Times New Roman"/>
        </w:rPr>
      </w:pPr>
    </w:p>
    <w:p w:rsidR="004E4E5D" w:rsidRDefault="004E4E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4E5D" w:rsidRDefault="004E4E5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 Текстовая часть муниципальной программы</w:t>
      </w:r>
    </w:p>
    <w:p w:rsidR="004E4E5D" w:rsidRDefault="004E4E5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2.1. Характеристика текущего состояния</w:t>
      </w:r>
    </w:p>
    <w:p w:rsidR="004E4E5D" w:rsidRDefault="004E4E5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 xml:space="preserve">        Одним из приоритетных направлений развития охраны труда является реализация мероприятий по снижению смертности, увеличению продолжительности жизни, охране здоровья населения, важными из которых являются: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- развитие системы охраны труда и снижение производственного травматизма;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- повышение культуры производства;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- стимулирование внедрения современных систем управления человеческими ресурсами в организациях района;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- обеспечение профилактики профессиональных заболеваний.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Анализ состояния условий и охраны труда в муниципальных учреждениях Шатковского муниципального района показывает, что в результате целенаправленной деятельности администрации района в области охраны труда в рамках реализации муниципальной программы «Улучшение условий труда и охраны труда в  Шатковском муниципальном районе на 2016-2018 годы» (далее - Программа)  были достигнуты следующие позитивные результаты: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- обеспечен приоритет сохранения жизни и здоровья работников;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- усовершенствована система организации обучения и аттестации руководителей и специалистов по вопросам охраны труда.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 xml:space="preserve">Показатель по уровню производственного травматизма в Шатковском муниципальном  районе ниже, чем в среднем по Нижегородской области, Приволжскому федеральному округу и Российской Федерации. Так,  в Нижегородской области в 2017 году уровень травматизма составил 0,9 случая, в Шатковском  районе – 0,2. 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ab/>
        <w:t>Несмотря на позитивные тенденции, в настоящий момент охрана труда продолжает сдерживаться следующими основными проблемами: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1) слабая ориентированность нормативно-правовой базы на стимулирование проведения мероприятий по улучшению условий и охраны труда.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2) недостаточное финансовое обеспечение мероприятий охраны труда;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>3) недостаточный образовательный уровень руководителей и специалистов по вопросам охраны труда.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ab/>
        <w:t>Разработка муниципальной программы «Улучшение условий труда и охраны труда в  Шатковском муниципальном районе на 2019-2021 годы» (далее - Программа) вызвана необходимостью решения вопросов безопасности труда не столько на основе узких технических и организационных мероприятий, сколько путем коренного изменения сложившегося в  учреждениях стереотипа пренебрежительного отношения к безопасности труда. Улучшение условий труда, обучение работников вопросам охраны труда в  муниципальных учреждениях является позитивным примером для организаций других форм собственности.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ab/>
        <w:t>Решение проблемы снижения производственного травматизма, профессиональных заболеваний и улучшения условий труда напрямую касается всех работников организаций и учреждений, так как от этого зависит их здоровье и благополучие, своевременное предоставление им предусмотренных законодательством гарантий и компенсаций за работу во вредных условиях и при контакте с вредными и опасными производственными факторами.</w:t>
      </w:r>
    </w:p>
    <w:p w:rsidR="004E4E5D" w:rsidRDefault="004E4E5D">
      <w:pPr>
        <w:pStyle w:val="ConsPlusNormal"/>
        <w:spacing w:line="276" w:lineRule="auto"/>
        <w:jc w:val="both"/>
        <w:outlineLvl w:val="2"/>
      </w:pPr>
      <w:r>
        <w:rPr>
          <w:rFonts w:ascii="Times New Roman" w:hAnsi="Times New Roman" w:cs="Times New Roman"/>
          <w:szCs w:val="24"/>
        </w:rPr>
        <w:tab/>
        <w:t>Реализация Программы позволит обеспечить снижение производственного травматизма и профессиональной заболеваемости на основе непрерывного совершенствования системы управления охраной труда и эффективно расходовать средства местного бюджета.</w:t>
      </w:r>
    </w:p>
    <w:p w:rsidR="004E4E5D" w:rsidRDefault="004E4E5D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center"/>
        <w:outlineLvl w:val="2"/>
      </w:pPr>
      <w:r>
        <w:rPr>
          <w:rFonts w:ascii="Times New Roman" w:hAnsi="Times New Roman" w:cs="Times New Roman"/>
          <w:b/>
          <w:i/>
          <w:szCs w:val="24"/>
        </w:rPr>
        <w:t xml:space="preserve">2.2. Цели и задачи </w:t>
      </w:r>
      <w:bookmarkStart w:id="3" w:name="__DdeLink__2360_450556527"/>
      <w:r>
        <w:rPr>
          <w:rFonts w:ascii="Times New Roman" w:hAnsi="Times New Roman" w:cs="Times New Roman"/>
          <w:b/>
          <w:i/>
          <w:szCs w:val="24"/>
        </w:rPr>
        <w:t>муниципальной</w:t>
      </w:r>
      <w:bookmarkEnd w:id="3"/>
      <w:r>
        <w:rPr>
          <w:rFonts w:ascii="Times New Roman" w:hAnsi="Times New Roman" w:cs="Times New Roman"/>
          <w:b/>
          <w:i/>
          <w:szCs w:val="24"/>
        </w:rPr>
        <w:t xml:space="preserve"> программы</w:t>
      </w:r>
    </w:p>
    <w:p w:rsidR="004E4E5D" w:rsidRDefault="004E4E5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i/>
          <w:szCs w:val="24"/>
        </w:rPr>
      </w:pPr>
    </w:p>
    <w:p w:rsidR="004E4E5D" w:rsidRDefault="004E4E5D">
      <w:pPr>
        <w:shd w:val="clear" w:color="auto" w:fill="FFFFFF"/>
        <w:ind w:firstLine="539"/>
        <w:jc w:val="both"/>
      </w:pPr>
      <w:r>
        <w:t>Цель Программы - улучшение условий и охраны труда в целях снижения производственного травматизма и профессиональной заболеваемости работников организаций, расположенных на территории Шатковского муниципального района</w:t>
      </w:r>
    </w:p>
    <w:p w:rsidR="004E4E5D" w:rsidRDefault="004E4E5D">
      <w:pPr>
        <w:shd w:val="clear" w:color="auto" w:fill="FFFFFF"/>
        <w:ind w:firstLine="539"/>
        <w:jc w:val="both"/>
      </w:pPr>
      <w:r>
        <w:t>Задачи Программы:</w:t>
      </w:r>
    </w:p>
    <w:p w:rsidR="004E4E5D" w:rsidRDefault="004E4E5D">
      <w:pPr>
        <w:shd w:val="clear" w:color="auto" w:fill="FFFFFF"/>
        <w:ind w:firstLine="539"/>
        <w:jc w:val="both"/>
      </w:pPr>
      <w:r>
        <w:t>- создание безопасных условий и обеспечение охраны труда в учреждениях муниципального района;</w:t>
      </w:r>
    </w:p>
    <w:p w:rsidR="004E4E5D" w:rsidRDefault="004E4E5D">
      <w:pPr>
        <w:shd w:val="clear" w:color="auto" w:fill="FFFFFF"/>
        <w:ind w:firstLine="539"/>
        <w:jc w:val="both"/>
      </w:pPr>
      <w:r>
        <w:t>- обеспечение непрерывной подготовки работников по вопросам охраны труда на основе современных технологий обучения;</w:t>
      </w:r>
    </w:p>
    <w:p w:rsidR="004E4E5D" w:rsidRDefault="004E4E5D">
      <w:pPr>
        <w:shd w:val="clear" w:color="auto" w:fill="FFFFFF"/>
        <w:ind w:firstLine="539"/>
        <w:jc w:val="both"/>
      </w:pPr>
      <w:r>
        <w:t>- совершенствование нормативной правовой базы в области охраны труда;</w:t>
      </w:r>
    </w:p>
    <w:p w:rsidR="004E4E5D" w:rsidRDefault="004E4E5D">
      <w:pPr>
        <w:shd w:val="clear" w:color="auto" w:fill="FFFFFF"/>
        <w:ind w:firstLine="539"/>
        <w:jc w:val="both"/>
      </w:pPr>
      <w:r>
        <w:t>- информационное обеспечение и пропаганда охраны труда;</w:t>
      </w:r>
    </w:p>
    <w:p w:rsidR="004E4E5D" w:rsidRDefault="004E4E5D">
      <w:pPr>
        <w:shd w:val="clear" w:color="auto" w:fill="FFFFFF"/>
        <w:ind w:firstLine="539"/>
        <w:jc w:val="both"/>
      </w:pPr>
      <w:r>
        <w:t>- совершенствование лечебно – профилактического обслуживания работающего населения</w:t>
      </w:r>
    </w:p>
    <w:p w:rsidR="004E4E5D" w:rsidRDefault="004E4E5D">
      <w:pPr>
        <w:shd w:val="clear" w:color="auto" w:fill="FFFFFF"/>
        <w:ind w:firstLine="539"/>
        <w:jc w:val="both"/>
      </w:pPr>
      <w:r>
        <w:t>В обществе должно быть ясное понимание того, что улучшение условий труда непосредственно связано с изменениями совокупности факторов производственной среды и трудового процесса, оказывающих влияние на работоспособность и здоровье работника</w:t>
      </w:r>
    </w:p>
    <w:p w:rsidR="004E4E5D" w:rsidRDefault="004E4E5D">
      <w:pPr>
        <w:shd w:val="clear" w:color="auto" w:fill="FFFFFF"/>
        <w:ind w:firstLine="539"/>
        <w:jc w:val="both"/>
      </w:pPr>
    </w:p>
    <w:p w:rsidR="004E4E5D" w:rsidRDefault="004E4E5D">
      <w:pPr>
        <w:shd w:val="clear" w:color="auto" w:fill="FFFFFF"/>
        <w:ind w:firstLine="720"/>
        <w:jc w:val="both"/>
      </w:pPr>
    </w:p>
    <w:p w:rsidR="004E4E5D" w:rsidRDefault="004E4E5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2.3. Сроки и этапы реализации муниципальной программы</w:t>
      </w:r>
    </w:p>
    <w:p w:rsidR="004E4E5D" w:rsidRDefault="004E4E5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Cs w:val="24"/>
        </w:rPr>
        <w:t xml:space="preserve">Программа реализуется один этап в течение 2019 - 2021 г. г. </w:t>
      </w:r>
    </w:p>
    <w:p w:rsidR="004E4E5D" w:rsidRDefault="004E4E5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center"/>
        <w:outlineLvl w:val="2"/>
      </w:pPr>
      <w:r>
        <w:rPr>
          <w:rFonts w:ascii="Times New Roman" w:hAnsi="Times New Roman" w:cs="Times New Roman"/>
          <w:b/>
          <w:i/>
          <w:szCs w:val="24"/>
        </w:rPr>
        <w:t>2.4. Перечень основных мероприятий муниципальной программы</w:t>
      </w:r>
    </w:p>
    <w:p w:rsidR="004E4E5D" w:rsidRDefault="004E4E5D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shd w:val="clear" w:color="auto" w:fill="FFFFFF"/>
        <w:ind w:firstLine="539"/>
        <w:jc w:val="both"/>
      </w:pPr>
      <w:r>
        <w:t xml:space="preserve">Мероприятия Программы сформированы исходя из законодательных требований, положительного опыта реализации предыдущих Программ. </w:t>
      </w:r>
    </w:p>
    <w:p w:rsidR="004E4E5D" w:rsidRDefault="004E4E5D">
      <w:pPr>
        <w:shd w:val="clear" w:color="auto" w:fill="FFFFFF"/>
        <w:ind w:firstLine="539"/>
        <w:jc w:val="both"/>
      </w:pPr>
      <w:r>
        <w:t>Особенностью Программы является организационно-методическая и координирующая направленность программных мероприятий. Это обусловлено спецификой государственного управления в области охраны труда – в соответствии с Трудовым кодексом Российской Федерации, реализация государственной политики в области охраны труда обеспечивается согласованными действиями органов государственной власти Российской Федерации, органов государственной власти Нижегородской области, органов местного самоуправления Шатковского района Нижегородской области, работодателей, профессиональных союзов и их объединений, а также других заинтересованных организаций.</w:t>
      </w:r>
    </w:p>
    <w:p w:rsidR="004E4E5D" w:rsidRDefault="004E4E5D">
      <w:pPr>
        <w:spacing w:line="276" w:lineRule="auto"/>
        <w:jc w:val="both"/>
      </w:pPr>
      <w:r>
        <w:tab/>
        <w:t>Координация и взаимодействие всех органов управления охраной труда Шатковского муниципального  района осуществляется через работу Межведомственной комиссии по охране труда Шатковского муниципального района.</w:t>
      </w:r>
    </w:p>
    <w:p w:rsidR="004E4E5D" w:rsidRDefault="004E4E5D">
      <w:pPr>
        <w:pStyle w:val="ConsPlusNormal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Cs w:val="24"/>
        </w:rPr>
        <w:t>Таблица1.</w:t>
      </w:r>
      <w:r>
        <w:rPr>
          <w:rFonts w:ascii="Times New Roman" w:hAnsi="Times New Roman" w:cs="Times New Roman"/>
          <w:b/>
          <w:i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Перечень основных мероприятий муниципальной программы </w:t>
      </w:r>
    </w:p>
    <w:p w:rsidR="004E4E5D" w:rsidRDefault="004E4E5D">
      <w:pPr>
        <w:pStyle w:val="ConsPlusNormal"/>
        <w:spacing w:line="276" w:lineRule="auto"/>
        <w:jc w:val="both"/>
        <w:sectPr w:rsidR="004E4E5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  <w:r>
        <w:rPr>
          <w:rFonts w:ascii="Times New Roman" w:hAnsi="Times New Roman" w:cs="Times New Roman"/>
          <w:b/>
          <w:szCs w:val="24"/>
        </w:rPr>
        <w:t>«Улучшение условий и охраны труда в Шатковском муниципальном районе Нижегородской области на 2019 - 2021 годы»</w:t>
      </w:r>
    </w:p>
    <w:tbl>
      <w:tblPr>
        <w:tblW w:w="15765" w:type="dxa"/>
        <w:tblInd w:w="-7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75" w:type="dxa"/>
        </w:tblCellMar>
        <w:tblLook w:val="0000"/>
      </w:tblPr>
      <w:tblGrid>
        <w:gridCol w:w="5"/>
        <w:gridCol w:w="642"/>
        <w:gridCol w:w="3077"/>
        <w:gridCol w:w="1202"/>
        <w:gridCol w:w="1391"/>
        <w:gridCol w:w="2516"/>
        <w:gridCol w:w="43"/>
        <w:gridCol w:w="2523"/>
        <w:gridCol w:w="1082"/>
        <w:gridCol w:w="1082"/>
        <w:gridCol w:w="29"/>
        <w:gridCol w:w="1187"/>
        <w:gridCol w:w="15"/>
        <w:gridCol w:w="971"/>
      </w:tblGrid>
      <w:tr w:rsidR="004E4E5D">
        <w:trPr>
          <w:trHeight w:val="900"/>
        </w:trPr>
        <w:tc>
          <w:tcPr>
            <w:tcW w:w="644" w:type="dxa"/>
            <w:gridSpan w:val="2"/>
            <w:vMerge w:val="restart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bookmarkStart w:id="4" w:name="P192"/>
            <w:bookmarkEnd w:id="4"/>
            <w:r>
              <w:t>№</w:t>
            </w:r>
          </w:p>
          <w:p w:rsidR="004E4E5D" w:rsidRDefault="004E4E5D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3120" w:type="dxa"/>
            <w:vMerge w:val="restart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Наименование</w:t>
            </w:r>
          </w:p>
          <w:p w:rsidR="004E4E5D" w:rsidRDefault="004E4E5D">
            <w:pPr>
              <w:widowControl w:val="0"/>
              <w:jc w:val="center"/>
            </w:pPr>
            <w:r>
              <w:t>основного мероприятия</w:t>
            </w:r>
          </w:p>
        </w:tc>
        <w:tc>
          <w:tcPr>
            <w:tcW w:w="960" w:type="dxa"/>
            <w:vMerge w:val="restart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Категория</w:t>
            </w:r>
          </w:p>
          <w:p w:rsidR="004E4E5D" w:rsidRDefault="004E4E5D">
            <w:pPr>
              <w:widowControl w:val="0"/>
              <w:jc w:val="center"/>
            </w:pPr>
            <w:r>
              <w:t>расходов</w:t>
            </w:r>
          </w:p>
          <w:p w:rsidR="004E4E5D" w:rsidRDefault="004E4E5D">
            <w:pPr>
              <w:widowControl w:val="0"/>
              <w:jc w:val="center"/>
            </w:pPr>
            <w:r>
              <w:t>(капвложе-ния,</w:t>
            </w:r>
          </w:p>
          <w:p w:rsidR="004E4E5D" w:rsidRDefault="004E4E5D">
            <w:pPr>
              <w:widowControl w:val="0"/>
              <w:jc w:val="center"/>
            </w:pPr>
            <w:r>
              <w:t>НИОКР и</w:t>
            </w:r>
          </w:p>
          <w:p w:rsidR="004E4E5D" w:rsidRDefault="004E4E5D">
            <w:pPr>
              <w:widowControl w:val="0"/>
              <w:jc w:val="center"/>
            </w:pPr>
            <w:r>
              <w:t>прочие</w:t>
            </w:r>
          </w:p>
          <w:p w:rsidR="004E4E5D" w:rsidRDefault="004E4E5D">
            <w:pPr>
              <w:widowControl w:val="0"/>
              <w:jc w:val="center"/>
            </w:pPr>
            <w:r>
              <w:t>расходы)</w:t>
            </w:r>
          </w:p>
        </w:tc>
        <w:tc>
          <w:tcPr>
            <w:tcW w:w="1395" w:type="dxa"/>
            <w:vMerge w:val="restart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Сроки</w:t>
            </w:r>
          </w:p>
          <w:p w:rsidR="004E4E5D" w:rsidRDefault="004E4E5D">
            <w:pPr>
              <w:widowControl w:val="0"/>
              <w:jc w:val="center"/>
            </w:pPr>
            <w:r>
              <w:t>выполнения (год)</w:t>
            </w:r>
          </w:p>
        </w:tc>
        <w:tc>
          <w:tcPr>
            <w:tcW w:w="2551" w:type="dxa"/>
            <w:vMerge w:val="restart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Исполнители</w:t>
            </w:r>
          </w:p>
          <w:p w:rsidR="004E4E5D" w:rsidRDefault="004E4E5D">
            <w:pPr>
              <w:widowControl w:val="0"/>
              <w:jc w:val="center"/>
            </w:pPr>
            <w:r>
              <w:t>мероприятий</w:t>
            </w:r>
          </w:p>
        </w:tc>
        <w:tc>
          <w:tcPr>
            <w:tcW w:w="2609" w:type="dxa"/>
            <w:gridSpan w:val="2"/>
            <w:vMerge w:val="restart"/>
            <w:tcMar>
              <w:left w:w="-10" w:type="dxa"/>
            </w:tcMar>
          </w:tcPr>
          <w:p w:rsidR="004E4E5D" w:rsidRDefault="004E4E5D">
            <w:pPr>
              <w:widowControl w:val="0"/>
              <w:jc w:val="center"/>
            </w:pPr>
            <w:r>
              <w:t xml:space="preserve">Источники </w:t>
            </w:r>
          </w:p>
          <w:p w:rsidR="004E4E5D" w:rsidRDefault="004E4E5D">
            <w:pPr>
              <w:widowControl w:val="0"/>
              <w:jc w:val="center"/>
            </w:pPr>
            <w:r>
              <w:t>финансирования</w:t>
            </w:r>
          </w:p>
        </w:tc>
        <w:tc>
          <w:tcPr>
            <w:tcW w:w="4484" w:type="dxa"/>
            <w:gridSpan w:val="6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Объем финансирования</w:t>
            </w:r>
          </w:p>
          <w:p w:rsidR="004E4E5D" w:rsidRDefault="004E4E5D">
            <w:pPr>
              <w:widowControl w:val="0"/>
              <w:jc w:val="center"/>
            </w:pPr>
            <w:r>
              <w:t xml:space="preserve">(по годам), тыс. руб. </w:t>
            </w:r>
            <w:r>
              <w:rPr>
                <w:b/>
                <w:i/>
              </w:rPr>
              <w:t>муниципальной</w:t>
            </w: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3120" w:type="dxa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960" w:type="dxa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395" w:type="dxa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  <w:p w:rsidR="004E4E5D" w:rsidRDefault="004E4E5D">
            <w:pPr>
              <w:widowControl w:val="0"/>
            </w:pPr>
            <w:r>
              <w:t xml:space="preserve">       1</w:t>
            </w:r>
          </w:p>
          <w:p w:rsidR="004E4E5D" w:rsidRDefault="004E4E5D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110" w:type="dxa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  <w:p w:rsidR="004E4E5D" w:rsidRDefault="004E4E5D">
            <w:pPr>
              <w:widowControl w:val="0"/>
              <w:jc w:val="center"/>
            </w:pPr>
            <w:r>
              <w:t>2</w:t>
            </w:r>
          </w:p>
          <w:p w:rsidR="004E4E5D" w:rsidRDefault="004E4E5D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260" w:type="dxa"/>
            <w:gridSpan w:val="2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  <w:p w:rsidR="004E4E5D" w:rsidRDefault="004E4E5D">
            <w:pPr>
              <w:widowControl w:val="0"/>
              <w:jc w:val="center"/>
            </w:pPr>
            <w:r>
              <w:t>3</w:t>
            </w:r>
          </w:p>
          <w:p w:rsidR="004E4E5D" w:rsidRDefault="004E4E5D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1004" w:type="dxa"/>
            <w:gridSpan w:val="2"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</w:pPr>
            <w:r>
              <w:t>Всего</w:t>
            </w:r>
          </w:p>
        </w:tc>
      </w:tr>
      <w:tr w:rsidR="004E4E5D">
        <w:trPr>
          <w:trHeight w:val="360"/>
        </w:trPr>
        <w:tc>
          <w:tcPr>
            <w:tcW w:w="8670" w:type="dxa"/>
            <w:gridSpan w:val="6"/>
            <w:vMerge w:val="restart"/>
            <w:tcMar>
              <w:left w:w="-10" w:type="dxa"/>
            </w:tcMar>
          </w:tcPr>
          <w:p w:rsidR="004E4E5D" w:rsidRDefault="004E4E5D">
            <w:pPr>
              <w:widowControl w:val="0"/>
              <w:jc w:val="center"/>
            </w:pPr>
            <w:r>
              <w:t>Муниципальная программа</w:t>
            </w:r>
          </w:p>
          <w:p w:rsidR="004E4E5D" w:rsidRDefault="004E4E5D"/>
          <w:p w:rsidR="004E4E5D" w:rsidRDefault="004E4E5D">
            <w:pPr>
              <w:jc w:val="center"/>
            </w:pPr>
          </w:p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«Улучшение условий и охраны труда в Шатковском</w:t>
            </w:r>
          </w:p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</w:rPr>
              <w:t>муниципальном районе Нижегородской области на 2019 - 2021 годы»</w:t>
            </w:r>
          </w:p>
          <w:p w:rsidR="004E4E5D" w:rsidRDefault="004E4E5D">
            <w:pPr>
              <w:ind w:firstLine="708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360"/>
        </w:trPr>
        <w:tc>
          <w:tcPr>
            <w:tcW w:w="8670" w:type="dxa"/>
            <w:gridSpan w:val="6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60"/>
        </w:trPr>
        <w:tc>
          <w:tcPr>
            <w:tcW w:w="8670" w:type="dxa"/>
            <w:gridSpan w:val="6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60"/>
        </w:trPr>
        <w:tc>
          <w:tcPr>
            <w:tcW w:w="8670" w:type="dxa"/>
            <w:gridSpan w:val="6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60"/>
        </w:trPr>
        <w:tc>
          <w:tcPr>
            <w:tcW w:w="8670" w:type="dxa"/>
            <w:gridSpan w:val="6"/>
            <w:vMerge/>
            <w:tcMar>
              <w:left w:w="-10" w:type="dxa"/>
            </w:tcMar>
            <w:vAlign w:val="center"/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bottom w:val="single" w:sz="4" w:space="0" w:color="00000A"/>
            </w:tcBorders>
            <w:tcMar>
              <w:left w:w="-10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c>
          <w:tcPr>
            <w:tcW w:w="8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Цель муниципальной программы:</w:t>
            </w:r>
          </w:p>
          <w:p w:rsidR="004E4E5D" w:rsidRDefault="004E4E5D">
            <w:pPr>
              <w:widowControl w:val="0"/>
            </w:pPr>
            <w:r>
              <w:t xml:space="preserve"> Улучшение условий и охраны труда в целях снижения производственного травматизма и  профессиональной заболеваемости работников организаций, расположенных на территории  Шатковского муниципального  района 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44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х</w:t>
            </w:r>
          </w:p>
        </w:tc>
      </w:tr>
      <w:tr w:rsidR="004E4E5D">
        <w:tc>
          <w:tcPr>
            <w:tcW w:w="86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bookmarkStart w:id="5" w:name="__DdeLink__2316_1626611080"/>
            <w:r>
              <w:t>Основное мероприятие</w:t>
            </w:r>
            <w:bookmarkEnd w:id="5"/>
            <w:r>
              <w:t xml:space="preserve"> 1. Создание безопасных условий и обеспечение охраны труда в учреждениях Шатковского муниципального района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44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63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1.1.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Координация и обеспечение реализации мероприятий по улучшению условий и охраны труда,  в том числе: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 попечительству и социальным вопросам администрации Шатковского муниципального района Нижегородской области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35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1.1.2.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Содействие работодателям в осуществлении предупредительных мер по сокращению производственного травматизма и профзаболеваний, финансируемых за счет средств Фонда социального страхования Российской Федерации.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 попечительству и социальным вопросам администрации Шатковского муниципального района Нижегородской области</w:t>
            </w:r>
            <w:r>
              <w:rPr>
                <w:lang w:val="en-US"/>
              </w:rPr>
              <w:t>;</w:t>
            </w:r>
          </w:p>
          <w:p w:rsidR="004E4E5D" w:rsidRDefault="004E4E5D">
            <w:pPr>
              <w:widowControl w:val="0"/>
              <w:jc w:val="both"/>
            </w:pPr>
            <w:r>
              <w:t xml:space="preserve"> ГУ НРО ФСС РФ (по согласованию)</w:t>
            </w:r>
          </w:p>
          <w:p w:rsidR="004E4E5D" w:rsidRDefault="004E4E5D">
            <w:pPr>
              <w:widowControl w:val="0"/>
              <w:jc w:val="both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51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5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</w:t>
            </w:r>
          </w:p>
          <w:p w:rsidR="004E4E5D" w:rsidRDefault="004E4E5D">
            <w:pPr>
              <w:widowControl w:val="0"/>
            </w:pPr>
            <w:r>
              <w:t>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5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1279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1.1.3.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spacing w:before="240" w:after="240"/>
            </w:pPr>
            <w:r>
              <w:rPr>
                <w:color w:val="000000"/>
              </w:rPr>
              <w:t>Выполнение мероприятий по охране труда соответствующих разделов трехсторонних территориальных Соглашений о взаимодействии в области социально-трудовых отношений и социальной защиты населения на 2019 -2021 г.г.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 попечительству и социальным вопросам администрации Шатковского муниципального района Нижегородской области</w:t>
            </w:r>
            <w:r>
              <w:rPr>
                <w:lang w:val="en-US"/>
              </w:rPr>
              <w:t>;</w:t>
            </w:r>
          </w:p>
          <w:p w:rsidR="004E4E5D" w:rsidRDefault="004E4E5D">
            <w:pPr>
              <w:widowControl w:val="0"/>
              <w:jc w:val="both"/>
            </w:pPr>
            <w:r>
              <w:rPr>
                <w:lang w:val="en-US"/>
              </w:rPr>
              <w:t>работодатели, участвующие в согла-шениях, представители профсоюзов  участвующих в соглашениях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 бюджет</w:t>
            </w: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1.1.4.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Принятие участия в осуществлении ведомственного государственного контроля за соблюдением трудового законодательства и иных нормативных правовых актов, содержащих нормы трудового права, в организациях, учреждениях, предприятиях района, подведомственных администрации Шатковского муниципального района.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 попечительству и социальным вопросам администрации Шатковского муниципального района Нижегородской области</w:t>
            </w:r>
            <w:r>
              <w:rPr>
                <w:lang w:val="en-US"/>
              </w:rPr>
              <w:t>;</w:t>
            </w:r>
          </w:p>
          <w:p w:rsidR="004E4E5D" w:rsidRDefault="004E4E5D">
            <w:pPr>
              <w:widowControl w:val="0"/>
              <w:spacing w:before="240" w:after="2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Всего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</w:p>
        </w:tc>
        <w:tc>
          <w:tcPr>
            <w:tcW w:w="260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 бюджет</w:t>
            </w: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498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1576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Основное мероприятие 2. Обеспечение непрерывной подготовки работников по вопросам охраны труда на основе современных технологий обучения</w:t>
            </w: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2.1.</w:t>
            </w:r>
          </w:p>
        </w:tc>
        <w:tc>
          <w:tcPr>
            <w:tcW w:w="312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Содействие в организации проведения обучения по охране труда, электробезопасности, пожарно-техническому минимуму работников организаций ,   в том числе руководителей, индивидуальных предпринимателей Шатковского муниципального  района и проверки знания ими требований охраны труда.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4E4E5D" w:rsidRDefault="004E4E5D">
            <w:pPr>
              <w:widowControl w:val="0"/>
              <w:jc w:val="both"/>
            </w:pPr>
            <w:r>
              <w:t>организации Шатковского муниципального района (по согласованию)</w:t>
            </w:r>
          </w:p>
          <w:p w:rsidR="004E4E5D" w:rsidRDefault="004E4E5D">
            <w:pPr>
              <w:widowControl w:val="0"/>
              <w:jc w:val="both"/>
            </w:pPr>
            <w:r>
              <w:t xml:space="preserve">обучающие организации, аккредитованные на оказание услуг в сфере охраны труда (по согласованию) 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</w:t>
            </w:r>
          </w:p>
          <w:p w:rsidR="004E4E5D" w:rsidRDefault="004E4E5D">
            <w:pPr>
              <w:widowControl w:val="0"/>
            </w:pPr>
            <w:r>
              <w:t>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2.2.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Содействие повышению квалификации специалистов по охране труда организаций, в том числе по вопросам внедрения современных систем управления охраной труда и профессиональными рисками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4E4E5D" w:rsidRDefault="004E4E5D">
            <w:pPr>
              <w:widowControl w:val="0"/>
              <w:jc w:val="both"/>
            </w:pPr>
            <w:r>
              <w:t xml:space="preserve">обучающие организации, аккредитованные на оказание услуг в сфере охраны труда (по согласованию) 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</w:t>
            </w:r>
          </w:p>
          <w:p w:rsidR="004E4E5D" w:rsidRDefault="004E4E5D">
            <w:pPr>
              <w:widowControl w:val="0"/>
            </w:pPr>
            <w:r>
              <w:t>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76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1576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Основное мероприятие 3. Совершенствование  нормативно- правовой базы в области  охраны труда в Шатковском муниципальном районе</w:t>
            </w: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3.1.</w:t>
            </w:r>
          </w:p>
        </w:tc>
        <w:tc>
          <w:tcPr>
            <w:tcW w:w="312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Подготовка проектов правовых актов Шатковского муниципального района в сфере охраны труда в связи с изменениями в федеральном и областном законодательстве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Сектор по опеке, попечительству и социальным вопросам администрации Шатковского муниципального района</w:t>
            </w:r>
          </w:p>
          <w:p w:rsidR="004E4E5D" w:rsidRDefault="004E4E5D">
            <w:pPr>
              <w:widowControl w:val="0"/>
              <w:jc w:val="both"/>
              <w:rPr>
                <w:u w:val="single"/>
              </w:rPr>
            </w:pPr>
          </w:p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</w:t>
            </w:r>
          </w:p>
          <w:p w:rsidR="004E4E5D" w:rsidRDefault="004E4E5D">
            <w:pPr>
              <w:widowControl w:val="0"/>
            </w:pPr>
            <w:r>
              <w:t>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1248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3.2.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rPr>
                <w:color w:val="000000"/>
              </w:rPr>
              <w:t xml:space="preserve">Оказание методической помощи структурным подразделениям администрации района, главам сельских (поселковых) администраций, подведомственным муниципальным организациям по организации управления охраной труда. </w:t>
            </w:r>
          </w:p>
          <w:p w:rsidR="004E4E5D" w:rsidRDefault="004E4E5D">
            <w:pPr>
              <w:widowControl w:val="0"/>
            </w:pP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4E4E5D" w:rsidRDefault="004E4E5D">
            <w:pPr>
              <w:widowControl w:val="0"/>
            </w:pPr>
            <w:r>
              <w:t>Сельские и поселковые администрации Шатковского муниципального района;</w:t>
            </w:r>
          </w:p>
          <w:p w:rsidR="004E4E5D" w:rsidRDefault="004E4E5D">
            <w:pPr>
              <w:widowControl w:val="0"/>
            </w:pPr>
            <w:r>
              <w:t>организации района (по согласованию)</w:t>
            </w: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222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3.3.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Содействие в распространении рекомендаций по выбору и эффективному применению средств индивидуальной защиты работников бюджетных отраслей экономики.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4E4E5D" w:rsidRDefault="004E4E5D">
            <w:pPr>
              <w:widowControl w:val="0"/>
            </w:pPr>
            <w:r>
              <w:t>структурные подразделения администрации района;</w:t>
            </w:r>
          </w:p>
          <w:p w:rsidR="004E4E5D" w:rsidRDefault="004E4E5D">
            <w:pPr>
              <w:widowControl w:val="0"/>
            </w:pPr>
            <w:r>
              <w:t xml:space="preserve">организации района (по согласованию), 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</w:t>
            </w:r>
          </w:p>
          <w:p w:rsidR="004E4E5D" w:rsidRDefault="004E4E5D">
            <w:pPr>
              <w:widowControl w:val="0"/>
            </w:pPr>
            <w:r>
              <w:t>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30"/>
        </w:trPr>
        <w:tc>
          <w:tcPr>
            <w:tcW w:w="1576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Основное мероприятие 4. Информационное обеспечение и пропаганда охраны труда</w:t>
            </w: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4.1.</w:t>
            </w:r>
          </w:p>
        </w:tc>
        <w:tc>
          <w:tcPr>
            <w:tcW w:w="312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Подготовка ежегодного материала по вопросам охраны и условий труда в организациях Шатковского  района к заседаниям МВК по охране труда Шатковского района и рекомендаций по его результатам.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5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both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4E4E5D" w:rsidRDefault="004E4E5D">
            <w:pPr>
              <w:widowControl w:val="0"/>
              <w:jc w:val="both"/>
            </w:pPr>
            <w:r>
              <w:t>организации района (по согласованию)</w:t>
            </w: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местный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</w:t>
            </w:r>
          </w:p>
          <w:p w:rsidR="004E4E5D" w:rsidRDefault="004E4E5D">
            <w:pPr>
              <w:widowControl w:val="0"/>
            </w:pPr>
            <w:r>
              <w:t>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30"/>
        </w:trPr>
        <w:tc>
          <w:tcPr>
            <w:tcW w:w="6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6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  <w:tc>
          <w:tcPr>
            <w:tcW w:w="10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4.2.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Проведение совещаний, семинаров по вопросам улучшения условий и охраны труда и внедрения современных систем управления охраной труда в организациях Шатковского  района.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Сектор по опеке, попечительству и социальным вопросам администрации Шатковского муниципального района, </w:t>
            </w:r>
          </w:p>
          <w:p w:rsidR="004E4E5D" w:rsidRDefault="004E4E5D">
            <w:pPr>
              <w:widowControl w:val="0"/>
            </w:pPr>
            <w:r>
              <w:t>МВК по охране труда Шатковского района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</w:tr>
      <w:tr w:rsidR="004E4E5D">
        <w:trPr>
          <w:trHeight w:val="360"/>
        </w:trPr>
        <w:tc>
          <w:tcPr>
            <w:tcW w:w="64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</w:tr>
      <w:tr w:rsidR="004E4E5D">
        <w:trPr>
          <w:gridBefore w:val="1"/>
          <w:trHeight w:val="360"/>
        </w:trPr>
        <w:tc>
          <w:tcPr>
            <w:tcW w:w="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4.3.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Участие в областных совещаниях по вопросам условий и охраны труда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Сектор по опеке, попечительству и социальным вопросам администрации Шатковского муниципального района 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4.4.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Пропаганда через средства массовой информации вопросов обеспечения прав  граждан на здоровье и безопасные условия труда, охраны труда в организациях, проведения специальной оценки условий труда в организациях, освещение проблем безопасности и гигиены труда, социальной защиты работников.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Сектор по опеке, попечительству и социальным вопросам администрации Шатковского муниципального района 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60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87"/>
        </w:trPr>
        <w:tc>
          <w:tcPr>
            <w:tcW w:w="6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4.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Подготовка и участие в реализации мероприятий, посвященных Всемирному Дню охраны труда  28 апреля </w:t>
            </w:r>
          </w:p>
        </w:tc>
        <w:tc>
          <w:tcPr>
            <w:tcW w:w="9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2019-2021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bookmarkStart w:id="6" w:name="__DdeLink__4429_38639589"/>
            <w:r>
              <w:t>Сектор по опеке, попечительству и социальным вопросам</w:t>
            </w:r>
            <w:bookmarkEnd w:id="6"/>
            <w:r>
              <w:t xml:space="preserve"> администрации Шатковского муниципального района;</w:t>
            </w:r>
          </w:p>
          <w:p w:rsidR="004E4E5D" w:rsidRDefault="004E4E5D">
            <w:pPr>
              <w:widowControl w:val="0"/>
            </w:pPr>
            <w:r>
              <w:t>организации района (по согласованию),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jc w:val="center"/>
            </w:pPr>
            <w:r>
              <w:t>-</w:t>
            </w:r>
          </w:p>
        </w:tc>
      </w:tr>
      <w:tr w:rsidR="004E4E5D">
        <w:trPr>
          <w:gridBefore w:val="1"/>
          <w:trHeight w:val="387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87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87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87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30"/>
        </w:trPr>
        <w:tc>
          <w:tcPr>
            <w:tcW w:w="1576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spacing w:before="240"/>
            </w:pPr>
            <w:r>
              <w:rPr>
                <w:color w:val="000000"/>
              </w:rPr>
              <w:t>Основное мероприятие 5. Совершенствование лечебно-профилактического обслуживания работающего населения</w:t>
            </w:r>
          </w:p>
        </w:tc>
      </w:tr>
      <w:tr w:rsidR="004E4E5D">
        <w:trPr>
          <w:gridBefore w:val="1"/>
          <w:trHeight w:val="330"/>
        </w:trPr>
        <w:tc>
          <w:tcPr>
            <w:tcW w:w="64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5.1.</w:t>
            </w: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  <w:p w:rsidR="004E4E5D" w:rsidRDefault="004E4E5D">
            <w:pPr>
              <w:widowControl w:val="0"/>
            </w:pPr>
          </w:p>
        </w:tc>
        <w:tc>
          <w:tcPr>
            <w:tcW w:w="312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Осуществление мониторинга показателей профессиональной заболеваемости и результатов проведения периодических медицинских осмотров работников в организациях Шатковского района.</w:t>
            </w:r>
          </w:p>
        </w:tc>
        <w:tc>
          <w:tcPr>
            <w:tcW w:w="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2019-2021 </w:t>
            </w:r>
          </w:p>
        </w:tc>
        <w:tc>
          <w:tcPr>
            <w:tcW w:w="2595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Сектор по опеке, попечительству и социальным вопросам администрации Шатковского муниципального района;</w:t>
            </w:r>
          </w:p>
          <w:p w:rsidR="004E4E5D" w:rsidRDefault="004E4E5D">
            <w:pPr>
              <w:widowControl w:val="0"/>
            </w:pPr>
            <w:r>
              <w:t>МВК по охране труда Шатковского муниципального района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Всего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  <w:jc w:val="center"/>
            </w:pPr>
            <w:r>
              <w:t>-</w:t>
            </w:r>
          </w:p>
        </w:tc>
      </w:tr>
      <w:tr w:rsidR="004E4E5D">
        <w:trPr>
          <w:gridBefore w:val="1"/>
          <w:trHeight w:val="330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 xml:space="preserve">местный бюджет  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</w:tr>
      <w:tr w:rsidR="004E4E5D">
        <w:trPr>
          <w:gridBefore w:val="1"/>
          <w:trHeight w:val="330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областной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30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федеральный бюджет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  <w:tr w:rsidR="004E4E5D">
        <w:trPr>
          <w:gridBefore w:val="1"/>
          <w:trHeight w:val="330"/>
        </w:trPr>
        <w:tc>
          <w:tcPr>
            <w:tcW w:w="64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3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9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1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>
            <w:pPr>
              <w:widowControl w:val="0"/>
            </w:pPr>
            <w:r>
              <w:t>прочие источники (средства предприятий, собственные средства населения)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</w:tcPr>
          <w:p w:rsidR="004E4E5D" w:rsidRDefault="004E4E5D"/>
        </w:tc>
      </w:tr>
    </w:tbl>
    <w:p w:rsidR="004E4E5D" w:rsidRDefault="004E4E5D">
      <w:pPr>
        <w:pStyle w:val="ConsPlusNormal"/>
        <w:outlineLvl w:val="3"/>
        <w:rPr>
          <w:rFonts w:ascii="Times New Roman" w:hAnsi="Times New Roman" w:cs="Times New Roman"/>
        </w:rPr>
      </w:pPr>
    </w:p>
    <w:p w:rsidR="004E4E5D" w:rsidRDefault="004E4E5D">
      <w:pPr>
        <w:pStyle w:val="ConsPlusNormal"/>
        <w:outlineLvl w:val="3"/>
        <w:rPr>
          <w:rFonts w:ascii="Times New Roman" w:hAnsi="Times New Roman" w:cs="Times New Roman"/>
        </w:rPr>
        <w:sectPr w:rsidR="004E4E5D">
          <w:pgSz w:w="16838" w:h="11906" w:orient="landscape"/>
          <w:pgMar w:top="1134" w:right="567" w:bottom="567" w:left="425" w:header="0" w:footer="0" w:gutter="0"/>
          <w:cols w:space="720"/>
          <w:formProt w:val="0"/>
          <w:docGrid w:linePitch="326" w:charSpace="-6145"/>
        </w:sectPr>
      </w:pPr>
    </w:p>
    <w:p w:rsidR="004E4E5D" w:rsidRDefault="004E4E5D">
      <w:pPr>
        <w:pStyle w:val="ConsPlusNormal"/>
        <w:outlineLvl w:val="3"/>
        <w:rPr>
          <w:rFonts w:ascii="Times New Roman" w:hAnsi="Times New Roman" w:cs="Times New Roman"/>
        </w:rPr>
      </w:pPr>
    </w:p>
    <w:p w:rsidR="004E4E5D" w:rsidRDefault="004E4E5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4E4E5D" w:rsidRDefault="004E4E5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E4E5D" w:rsidRDefault="004E4E5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Индикаторы достижения цели и непосредственные результаты реализации муниципальной программы приведены в таблице2.</w:t>
      </w:r>
    </w:p>
    <w:p w:rsidR="004E4E5D" w:rsidRDefault="004E4E5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ind w:firstLine="540"/>
        <w:jc w:val="both"/>
        <w:outlineLvl w:val="3"/>
      </w:pPr>
      <w:r>
        <w:rPr>
          <w:rFonts w:ascii="Times New Roman" w:hAnsi="Times New Roman" w:cs="Times New Roman"/>
          <w:szCs w:val="24"/>
        </w:rPr>
        <w:t xml:space="preserve">Таблица 2. </w:t>
      </w:r>
      <w:r>
        <w:rPr>
          <w:rFonts w:ascii="Times New Roman" w:hAnsi="Times New Roman" w:cs="Times New Roman"/>
          <w:b/>
          <w:bCs/>
          <w:szCs w:val="24"/>
        </w:rPr>
        <w:t>Сведения об и</w:t>
      </w:r>
      <w:r>
        <w:rPr>
          <w:rFonts w:ascii="Times New Roman" w:hAnsi="Times New Roman" w:cs="Times New Roman"/>
          <w:b/>
          <w:szCs w:val="24"/>
        </w:rPr>
        <w:t>ндикаторах  и непосредственных результатах</w:t>
      </w:r>
    </w:p>
    <w:p w:rsidR="004E4E5D" w:rsidRDefault="004E4E5D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W w:w="97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-5" w:type="dxa"/>
          <w:bottom w:w="102" w:type="dxa"/>
          <w:right w:w="62" w:type="dxa"/>
        </w:tblCellMar>
        <w:tblLook w:val="0000"/>
      </w:tblPr>
      <w:tblGrid>
        <w:gridCol w:w="471"/>
        <w:gridCol w:w="3578"/>
        <w:gridCol w:w="1350"/>
        <w:gridCol w:w="990"/>
        <w:gridCol w:w="1104"/>
        <w:gridCol w:w="1104"/>
        <w:gridCol w:w="1108"/>
      </w:tblGrid>
      <w:tr w:rsidR="004E4E5D">
        <w:trPr>
          <w:trHeight w:val="314"/>
        </w:trPr>
        <w:tc>
          <w:tcPr>
            <w:tcW w:w="486" w:type="dxa"/>
            <w:vMerge w:val="restart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 п/п</w:t>
            </w:r>
          </w:p>
        </w:tc>
        <w:tc>
          <w:tcPr>
            <w:tcW w:w="3971" w:type="dxa"/>
            <w:vMerge w:val="restart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850" w:type="dxa"/>
            <w:vMerge w:val="restart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Единица измере-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ния</w:t>
            </w:r>
          </w:p>
        </w:tc>
        <w:tc>
          <w:tcPr>
            <w:tcW w:w="4397" w:type="dxa"/>
            <w:gridSpan w:val="4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Значение индикатора, непосредственного результата</w:t>
            </w:r>
          </w:p>
        </w:tc>
      </w:tr>
      <w:tr w:rsidR="004E4E5D">
        <w:trPr>
          <w:trHeight w:val="314"/>
        </w:trPr>
        <w:tc>
          <w:tcPr>
            <w:tcW w:w="486" w:type="dxa"/>
            <w:vMerge/>
            <w:tcMar>
              <w:left w:w="-5" w:type="dxa"/>
            </w:tcMar>
          </w:tcPr>
          <w:p w:rsidR="004E4E5D" w:rsidRDefault="004E4E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1" w:type="dxa"/>
            <w:vMerge/>
            <w:tcMar>
              <w:left w:w="-5" w:type="dxa"/>
            </w:tcMar>
          </w:tcPr>
          <w:p w:rsidR="004E4E5D" w:rsidRDefault="004E4E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vMerge/>
            <w:tcMar>
              <w:left w:w="-5" w:type="dxa"/>
            </w:tcMar>
          </w:tcPr>
          <w:p w:rsidR="004E4E5D" w:rsidRDefault="004E4E5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год реализа-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ции програм-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год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реализа-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ции 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год 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реализа-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ции 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програм-</w:t>
            </w:r>
          </w:p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мы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Default="004E4E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 весь период</w:t>
            </w:r>
          </w:p>
          <w:p w:rsidR="004E4E5D" w:rsidRDefault="004E4E5D">
            <w:r>
              <w:t>реализа-</w:t>
            </w:r>
          </w:p>
          <w:p w:rsidR="004E4E5D" w:rsidRDefault="004E4E5D">
            <w:r>
              <w:t>ции програм-</w:t>
            </w:r>
          </w:p>
          <w:p w:rsidR="004E4E5D" w:rsidRDefault="004E4E5D">
            <w:r>
              <w:t>мы</w:t>
            </w:r>
          </w:p>
        </w:tc>
      </w:tr>
      <w:tr w:rsidR="004E4E5D">
        <w:trPr>
          <w:trHeight w:val="238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E4E5D">
        <w:trPr>
          <w:trHeight w:val="465"/>
        </w:trPr>
        <w:tc>
          <w:tcPr>
            <w:tcW w:w="9704" w:type="dxa"/>
            <w:gridSpan w:val="7"/>
            <w:tcMar>
              <w:left w:w="-5" w:type="dxa"/>
            </w:tcMar>
          </w:tcPr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«Улучшение условий и охраны труда в </w:t>
            </w:r>
            <w:r>
              <w:rPr>
                <w:rFonts w:ascii="Times New Roman" w:hAnsi="Times New Roman" w:cs="Times New Roman"/>
                <w:b/>
              </w:rPr>
              <w:t xml:space="preserve">Шатковском муниципальном районе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 2019 - 2021 гг."</w:t>
            </w:r>
          </w:p>
          <w:p w:rsidR="004E4E5D" w:rsidRDefault="004E4E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E4E5D">
        <w:trPr>
          <w:trHeight w:val="238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9218" w:type="dxa"/>
            <w:gridSpan w:val="6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Индикаторы </w:t>
            </w:r>
          </w:p>
        </w:tc>
      </w:tr>
      <w:tr w:rsidR="004E4E5D">
        <w:trPr>
          <w:trHeight w:val="1068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Default="004E4E5D">
            <w:pPr>
              <w:widowControl w:val="0"/>
              <w:jc w:val="both"/>
            </w:pPr>
            <w:r>
              <w:rPr>
                <w:sz w:val="22"/>
                <w:szCs w:val="20"/>
              </w:rPr>
              <w:t xml:space="preserve">Численность пострадавших в результате несчастных случаев на производстве с утратой трудоспособности на 1 рабочий день и более  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bookmarkStart w:id="7" w:name="__DdeLink__29814_883114080"/>
            <w:bookmarkEnd w:id="7"/>
            <w:r>
              <w:rPr>
                <w:rFonts w:ascii="Times New Roman" w:hAnsi="Times New Roman" w:cs="Times New Roman"/>
                <w:szCs w:val="24"/>
              </w:rPr>
              <w:t>Чел. на 1 000 работающих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</w:tr>
      <w:tr w:rsidR="004E4E5D">
        <w:trPr>
          <w:trHeight w:val="842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/>
                <w:sz w:val="22"/>
              </w:rPr>
              <w:t xml:space="preserve">Численность пострадавших в результате несчастных случаев на производстве со смертельным исходом 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4E4E5D">
        <w:trPr>
          <w:trHeight w:val="842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Default="004E4E5D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Количество проведенных мероприятий по ведомственному контролю по соблюдению трудового законодательства в подведомственных учреждениях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E4E5D">
        <w:trPr>
          <w:trHeight w:val="666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/>
              </w:rPr>
              <w:t>Количество опубликованных материалов по вопросам охраны труда в районной газете «Новый путь» и на официальном сайте администрации Шатковского муниципального района.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4E4E5D">
        <w:trPr>
          <w:trHeight w:val="226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8081" w:type="dxa"/>
            <w:gridSpan w:val="5"/>
            <w:tcMar>
              <w:left w:w="-5" w:type="dxa"/>
            </w:tcMar>
          </w:tcPr>
          <w:p w:rsidR="004E4E5D" w:rsidRPr="00D874B2" w:rsidRDefault="004E4E5D">
            <w:pPr>
              <w:pStyle w:val="ConsPlusNormal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Непосредственные результаты </w:t>
            </w:r>
          </w:p>
        </w:tc>
        <w:tc>
          <w:tcPr>
            <w:tcW w:w="1137" w:type="dxa"/>
            <w:tcMar>
              <w:left w:w="-5" w:type="dxa"/>
            </w:tcMar>
          </w:tcPr>
          <w:p w:rsidR="004E4E5D" w:rsidRDefault="004E4E5D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E4E5D">
        <w:trPr>
          <w:trHeight w:val="641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Default="004E4E5D">
            <w:pPr>
              <w:widowControl w:val="0"/>
              <w:jc w:val="both"/>
            </w:pPr>
            <w:r>
              <w:rPr>
                <w:sz w:val="22"/>
                <w:szCs w:val="20"/>
              </w:rPr>
              <w:t xml:space="preserve"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Чел.на 1 000 работающих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0,1</w:t>
            </w:r>
          </w:p>
        </w:tc>
      </w:tr>
      <w:tr w:rsidR="004E4E5D">
        <w:trPr>
          <w:trHeight w:val="1044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/>
                <w:sz w:val="22"/>
              </w:rPr>
              <w:t xml:space="preserve">Численность пострадавших в результате несчастных случаев на производстве со смертельным исходом 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Default="004E4E5D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:rsidR="004E4E5D" w:rsidRDefault="004E4E5D">
            <w:pPr>
              <w:jc w:val="center"/>
            </w:pPr>
            <w:r>
              <w:t>чел.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 w:rsidRPr="00D874B2">
              <w:t>0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 w:rsidRPr="00D874B2">
              <w:t>0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 w:rsidRPr="00D874B2">
              <w:t>0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 w:rsidRPr="00D874B2">
              <w:t>0</w:t>
            </w:r>
          </w:p>
        </w:tc>
      </w:tr>
      <w:tr w:rsidR="004E4E5D">
        <w:trPr>
          <w:trHeight w:val="523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Default="004E4E5D">
            <w:pPr>
              <w:widowControl w:val="0"/>
              <w:jc w:val="both"/>
              <w:rPr>
                <w:szCs w:val="20"/>
              </w:rPr>
            </w:pPr>
            <w:r>
              <w:rPr>
                <w:szCs w:val="20"/>
              </w:rPr>
              <w:t>Количество проведенных мероприятий по ведомственному контролю по соблюдению трудового законодательства в подведомственных учреждениях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E4E5D">
        <w:trPr>
          <w:trHeight w:val="930"/>
        </w:trPr>
        <w:tc>
          <w:tcPr>
            <w:tcW w:w="486" w:type="dxa"/>
            <w:tcMar>
              <w:left w:w="-5" w:type="dxa"/>
            </w:tcMar>
          </w:tcPr>
          <w:p w:rsidR="004E4E5D" w:rsidRDefault="004E4E5D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3971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both"/>
            </w:pPr>
            <w:r>
              <w:rPr>
                <w:rFonts w:ascii="Times New Roman" w:hAnsi="Times New Roman"/>
              </w:rPr>
              <w:t>Количество опубликованных материалов по вопросам охраны труда в районной газете «Новый путь» и на официальном сайте администрации Шатковского муниципального района.</w:t>
            </w:r>
          </w:p>
        </w:tc>
        <w:tc>
          <w:tcPr>
            <w:tcW w:w="850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Ед.</w:t>
            </w:r>
          </w:p>
        </w:tc>
        <w:tc>
          <w:tcPr>
            <w:tcW w:w="99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2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9" w:type="dxa"/>
            <w:tcMar>
              <w:left w:w="-5" w:type="dxa"/>
            </w:tcMar>
          </w:tcPr>
          <w:p w:rsidR="004E4E5D" w:rsidRPr="00D874B2" w:rsidRDefault="004E4E5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</w:tbl>
    <w:p w:rsidR="004E4E5D" w:rsidRDefault="004E4E5D">
      <w:pPr>
        <w:pStyle w:val="ConsPlusNormal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E4E5D" w:rsidRDefault="004E4E5D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2.6.</w:t>
      </w:r>
      <w:r>
        <w:rPr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Предоставление субсидий из бюджета района бюджетам поселений муниципального района, муниципальным учреждениям и муниципальным предприятиям.</w:t>
      </w:r>
    </w:p>
    <w:p w:rsidR="004E4E5D" w:rsidRDefault="004E4E5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Программой не предусмотрено предоставление субсидий из бюджета района бюджетам поселений муниципального района, муниципальным учреждениям и муниципальным предприятиям.</w:t>
      </w:r>
    </w:p>
    <w:p w:rsidR="004E4E5D" w:rsidRDefault="004E4E5D">
      <w:pPr>
        <w:pStyle w:val="ConsPlusNormal"/>
        <w:jc w:val="center"/>
        <w:outlineLvl w:val="3"/>
      </w:pPr>
      <w:r>
        <w:rPr>
          <w:rFonts w:ascii="Times New Roman" w:hAnsi="Times New Roman" w:cs="Times New Roman"/>
          <w:b/>
          <w:szCs w:val="24"/>
        </w:rPr>
        <w:t>2.7.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Участие в реализации муниципальной программы муниципальных   предприятий, акционерных обществ с участием Шатковского муниципального района, общественных и иных организаций</w:t>
      </w:r>
    </w:p>
    <w:p w:rsidR="004E4E5D" w:rsidRDefault="004E4E5D">
      <w:pPr>
        <w:pStyle w:val="ConsPlusNormal"/>
        <w:jc w:val="both"/>
        <w:outlineLvl w:val="3"/>
      </w:pPr>
      <w:r>
        <w:rPr>
          <w:rFonts w:ascii="Times New Roman" w:hAnsi="Times New Roman" w:cs="Times New Roman"/>
          <w:szCs w:val="24"/>
        </w:rPr>
        <w:t>Участие в реализации Программы муниципальных   предприятий, акционерных обществ с  участием  Шатковского муниципального района, общественных и иных организаций не предусмотрено.</w:t>
      </w:r>
    </w:p>
    <w:p w:rsidR="004E4E5D" w:rsidRDefault="004E4E5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2.8. Обоснование объема финансовых ресурсов и прогнозная оценка расходов на реализацию муниципальной программы за счет всех источников</w:t>
      </w:r>
    </w:p>
    <w:p w:rsidR="004E4E5D" w:rsidRDefault="004E4E5D">
      <w:pPr>
        <w:pStyle w:val="ConsPlusNormal"/>
        <w:ind w:firstLine="540"/>
        <w:jc w:val="both"/>
        <w:outlineLvl w:val="4"/>
      </w:pPr>
      <w:r>
        <w:rPr>
          <w:rFonts w:ascii="Times New Roman" w:hAnsi="Times New Roman" w:cs="Times New Roman"/>
          <w:szCs w:val="24"/>
        </w:rPr>
        <w:t>Привлечение средств федерального, областного бюджетов и внебюджетных фондов не предусмотрено.</w:t>
      </w:r>
    </w:p>
    <w:p w:rsidR="004E4E5D" w:rsidRDefault="004E4E5D">
      <w:pPr>
        <w:pStyle w:val="ConsPlusNormal"/>
        <w:ind w:firstLine="540"/>
        <w:jc w:val="center"/>
        <w:outlineLvl w:val="4"/>
      </w:pPr>
      <w:r>
        <w:rPr>
          <w:rFonts w:ascii="Times New Roman" w:hAnsi="Times New Roman" w:cs="Times New Roman"/>
          <w:b/>
          <w:szCs w:val="24"/>
        </w:rPr>
        <w:t>2.9. Анализ рисков реализации муниципальной программы.</w:t>
      </w:r>
    </w:p>
    <w:p w:rsidR="004E4E5D" w:rsidRDefault="004E4E5D">
      <w:pPr>
        <w:pStyle w:val="ConsPlusNormal"/>
        <w:spacing w:line="276" w:lineRule="auto"/>
        <w:ind w:firstLine="540"/>
        <w:jc w:val="both"/>
      </w:pPr>
      <w:r>
        <w:rPr>
          <w:rFonts w:ascii="Times New Roman" w:hAnsi="Times New Roman" w:cs="Times New Roman"/>
          <w:szCs w:val="24"/>
        </w:rPr>
        <w:t xml:space="preserve">К рискам реализации муниципальной программы можно отнести следующие: </w:t>
      </w:r>
    </w:p>
    <w:p w:rsidR="004E4E5D" w:rsidRDefault="004E4E5D">
      <w:pPr>
        <w:pStyle w:val="ConsPlusNormal"/>
        <w:spacing w:line="276" w:lineRule="auto"/>
        <w:jc w:val="both"/>
        <w:outlineLvl w:val="3"/>
      </w:pPr>
      <w:r>
        <w:rPr>
          <w:rFonts w:ascii="Times New Roman" w:hAnsi="Times New Roman" w:cs="Times New Roman"/>
          <w:szCs w:val="24"/>
        </w:rPr>
        <w:t xml:space="preserve">Организационные - связаны с ошибками управления реализацией муниципальной программы, в следствии чего, могут быть не выполнены некоторые мероприятия программы, нарушены сроки их выполнения. </w:t>
      </w:r>
    </w:p>
    <w:p w:rsidR="004E4E5D" w:rsidRDefault="004E4E5D">
      <w:pPr>
        <w:pStyle w:val="ConsPlusNormal"/>
        <w:spacing w:line="276" w:lineRule="auto"/>
        <w:jc w:val="both"/>
        <w:outlineLvl w:val="3"/>
      </w:pPr>
      <w:r>
        <w:rPr>
          <w:rFonts w:ascii="Times New Roman" w:hAnsi="Times New Roman" w:cs="Times New Roman"/>
          <w:szCs w:val="24"/>
        </w:rPr>
        <w:t xml:space="preserve">В целях профилактики организационных рисков возможно применение следующих мер: </w:t>
      </w:r>
    </w:p>
    <w:p w:rsidR="004E4E5D" w:rsidRDefault="004E4E5D">
      <w:pPr>
        <w:pStyle w:val="ConsPlusNormal"/>
        <w:spacing w:line="276" w:lineRule="auto"/>
        <w:jc w:val="both"/>
        <w:outlineLvl w:val="3"/>
      </w:pPr>
      <w:r>
        <w:rPr>
          <w:rFonts w:ascii="Times New Roman" w:hAnsi="Times New Roman" w:cs="Times New Roman"/>
          <w:szCs w:val="24"/>
        </w:rPr>
        <w:t xml:space="preserve">-закрепление конкретных исполнителей мероприятий муниципальной программы; </w:t>
      </w:r>
    </w:p>
    <w:p w:rsidR="004E4E5D" w:rsidRDefault="004E4E5D">
      <w:pPr>
        <w:pStyle w:val="ConsPlusNormal"/>
        <w:spacing w:line="276" w:lineRule="auto"/>
        <w:jc w:val="both"/>
        <w:outlineLvl w:val="3"/>
      </w:pPr>
      <w:r>
        <w:rPr>
          <w:rFonts w:ascii="Times New Roman" w:hAnsi="Times New Roman" w:cs="Times New Roman"/>
          <w:szCs w:val="24"/>
        </w:rPr>
        <w:t xml:space="preserve">-повышение квалификации конкретных исполнителей мероприятий (специалистов) с целью своевременной и эффективной реализации предусмотренных мероприятий; </w:t>
      </w:r>
    </w:p>
    <w:p w:rsidR="004E4E5D" w:rsidRDefault="004E4E5D">
      <w:pPr>
        <w:pStyle w:val="ConsPlusNormal"/>
        <w:spacing w:line="276" w:lineRule="auto"/>
        <w:jc w:val="both"/>
        <w:outlineLvl w:val="3"/>
      </w:pPr>
      <w:r>
        <w:rPr>
          <w:rFonts w:ascii="Times New Roman" w:hAnsi="Times New Roman" w:cs="Times New Roman"/>
          <w:szCs w:val="24"/>
        </w:rPr>
        <w:t>-координация деятельности конкретных исполнителей мероприятий и налаживание административных процедур для снижения данного риска.</w:t>
      </w:r>
    </w:p>
    <w:p w:rsidR="004E4E5D" w:rsidRDefault="004E4E5D">
      <w:pPr>
        <w:pStyle w:val="ConsPlusNormal"/>
        <w:spacing w:line="276" w:lineRule="auto"/>
        <w:jc w:val="both"/>
        <w:outlineLvl w:val="3"/>
      </w:pPr>
      <w:r>
        <w:rPr>
          <w:rFonts w:ascii="Times New Roman" w:hAnsi="Times New Roman" w:cs="Times New Roman"/>
          <w:szCs w:val="24"/>
        </w:rPr>
        <w:t>Непредвиденные риски - связаны с кризисными явлениями в экономике Российской Федерации, с природными и техногенными катастрофами.  В целом способом ограничения рисков будет являться мониторинг эффективности проводимых мероприятий, ежегодная корректировка целевых показателей в зависимости от достигнутых результатов.</w:t>
      </w:r>
    </w:p>
    <w:p w:rsidR="004E4E5D" w:rsidRDefault="004E4E5D">
      <w:pPr>
        <w:pStyle w:val="ConsPlusNormal"/>
        <w:spacing w:before="220" w:line="276" w:lineRule="auto"/>
        <w:ind w:firstLine="540"/>
        <w:jc w:val="both"/>
        <w:outlineLvl w:val="4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jc w:val="center"/>
        <w:outlineLvl w:val="1"/>
      </w:pPr>
      <w:r>
        <w:rPr>
          <w:rFonts w:ascii="Times New Roman" w:hAnsi="Times New Roman" w:cs="Times New Roman"/>
          <w:b/>
          <w:szCs w:val="24"/>
        </w:rPr>
        <w:t xml:space="preserve">3. Оценка планируемой эффективности </w:t>
      </w:r>
    </w:p>
    <w:p w:rsidR="004E4E5D" w:rsidRDefault="004E4E5D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муниципальной программы</w:t>
      </w:r>
    </w:p>
    <w:p w:rsidR="004E4E5D" w:rsidRDefault="004E4E5D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Cs w:val="24"/>
        </w:rPr>
        <w:t xml:space="preserve">Оценка эффективности муниципальной программы «Улучшение условий и охраны труда в Шатковском муниципальном районе Нижегородской области на 2019 - 2021 годы» определяется достижением непосредственных результатов программы, а также плановых значений целевых индикаторов на 2019 - 2021 годы.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Программа улучшения условий и охраны труда является экономически эффективной за счет увеличения объема предотвращенного ущерба и снижения экономических потерь в связи с производственными травмами и профессиональными заболеваниями, в том числе: </w:t>
      </w:r>
    </w:p>
    <w:p w:rsidR="004E4E5D" w:rsidRDefault="004E4E5D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Cs w:val="24"/>
        </w:rPr>
        <w:tab/>
        <w:t xml:space="preserve">- выплат из Пенсионного фонда Российской Федерации в связи с досрочным выходом на пенсию по старости на льготных основаниях за работу во вредных и опасных условиях труда; а также по инвалидности вследствие трудового увечья и профзаболеваний;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- выплат из Фонда социального страхования Российской Федерации (ежемесячные выплаты пострадавшим, пособия по временной нетрудоспособности, расходы на реабилитацию пострадавших);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- расходов работодателей на компенсации работникам за работу во вредных и (или) опасных условиях труда (дополнительный отпуск, оплата труда в повышенном размере и др.).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Социальные последствия реализации программных мероприятий выражаются в улучшении демографической ситуации, сохранении здоровья и трудоспособности работающего населения, в т.ч. снижении смертности от предотвратимых причин.</w:t>
      </w:r>
    </w:p>
    <w:p w:rsidR="004E4E5D" w:rsidRDefault="004E4E5D">
      <w:pPr>
        <w:pStyle w:val="ConsPlusNormal"/>
        <w:spacing w:line="276" w:lineRule="auto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outlineLvl w:val="2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outlineLvl w:val="2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outlineLvl w:val="2"/>
        <w:rPr>
          <w:rFonts w:ascii="Times New Roman" w:hAnsi="Times New Roman" w:cs="Times New Roman"/>
          <w:szCs w:val="24"/>
        </w:rPr>
      </w:pPr>
    </w:p>
    <w:p w:rsidR="004E4E5D" w:rsidRDefault="004E4E5D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4E4E5D" w:rsidRDefault="004E4E5D">
      <w:pPr>
        <w:pStyle w:val="ConsPlusNormal"/>
        <w:ind w:firstLine="540"/>
        <w:jc w:val="both"/>
        <w:rPr>
          <w:b/>
          <w:bCs/>
        </w:rPr>
      </w:pPr>
    </w:p>
    <w:p w:rsidR="004E4E5D" w:rsidRDefault="004E4E5D">
      <w:pPr>
        <w:pStyle w:val="a4"/>
        <w:ind w:firstLine="300"/>
        <w:jc w:val="both"/>
      </w:pPr>
    </w:p>
    <w:p w:rsidR="004E4E5D" w:rsidRDefault="004E4E5D">
      <w:pPr>
        <w:pStyle w:val="a4"/>
        <w:ind w:firstLine="300"/>
        <w:jc w:val="both"/>
      </w:pPr>
    </w:p>
    <w:p w:rsidR="004E4E5D" w:rsidRDefault="004E4E5D">
      <w:pPr>
        <w:pStyle w:val="a4"/>
        <w:ind w:firstLine="300"/>
        <w:jc w:val="both"/>
      </w:pPr>
    </w:p>
    <w:p w:rsidR="004E4E5D" w:rsidRDefault="004E4E5D">
      <w:pPr>
        <w:pStyle w:val="ConsPlusNormal"/>
        <w:jc w:val="center"/>
        <w:outlineLvl w:val="3"/>
        <w:rPr>
          <w:rFonts w:ascii="Times New Roman" w:hAnsi="Times New Roman" w:cs="Times New Roman"/>
        </w:rPr>
      </w:pPr>
    </w:p>
    <w:p w:rsidR="004E4E5D" w:rsidRDefault="004E4E5D">
      <w:pPr>
        <w:ind w:firstLine="540"/>
        <w:jc w:val="both"/>
      </w:pPr>
    </w:p>
    <w:sectPr w:rsidR="004E4E5D" w:rsidSect="00CD08F3">
      <w:pgSz w:w="11906" w:h="16838"/>
      <w:pgMar w:top="1134" w:right="850" w:bottom="851" w:left="1701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4000205B" w:usb2="00000001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8F3"/>
    <w:rsid w:val="0033271B"/>
    <w:rsid w:val="004E4E5D"/>
    <w:rsid w:val="00CD08F3"/>
    <w:rsid w:val="00D874B2"/>
    <w:rsid w:val="00D9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с отступом Знак"/>
    <w:basedOn w:val="DefaultParagraphFont"/>
    <w:uiPriority w:val="99"/>
    <w:rPr>
      <w:rFonts w:ascii="Times New Roman" w:hAnsi="Times New Roman" w:cs="Times New Roman"/>
      <w:sz w:val="20"/>
      <w:szCs w:val="20"/>
      <w:lang w:eastAsia="ar-SA" w:bidi="ar-SA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</w:rPr>
  </w:style>
  <w:style w:type="character" w:customStyle="1" w:styleId="a0">
    <w:name w:val="Текст выноски Знак"/>
    <w:basedOn w:val="DefaultParagraphFont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customStyle="1" w:styleId="a1">
    <w:name w:val="Верх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3">
    <w:name w:val="Заголовок"/>
    <w:basedOn w:val="Normal"/>
    <w:next w:val="BodyText"/>
    <w:uiPriority w:val="99"/>
    <w:rsid w:val="00CD08F3"/>
    <w:pPr>
      <w:keepNext/>
      <w:spacing w:before="240" w:after="120"/>
    </w:pPr>
    <w:rPr>
      <w:rFonts w:ascii="Liberation Sans" w:eastAsia="Calibr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D08F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86B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">
    <w:name w:val="List"/>
    <w:basedOn w:val="BodyText"/>
    <w:uiPriority w:val="99"/>
    <w:rsid w:val="00CD08F3"/>
    <w:rPr>
      <w:rFonts w:cs="Arial"/>
    </w:rPr>
  </w:style>
  <w:style w:type="paragraph" w:styleId="Caption">
    <w:name w:val="caption"/>
    <w:basedOn w:val="Normal"/>
    <w:uiPriority w:val="99"/>
    <w:qFormat/>
    <w:rsid w:val="00CD08F3"/>
    <w:pPr>
      <w:suppressLineNumbers/>
      <w:spacing w:before="120" w:after="120"/>
    </w:pPr>
    <w:rPr>
      <w:rFonts w:cs="Ari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CD08F3"/>
    <w:pPr>
      <w:suppressLineNumbers/>
    </w:pPr>
    <w:rPr>
      <w:rFonts w:cs="Arial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Tahoma"/>
      <w:color w:val="00000A"/>
      <w:sz w:val="20"/>
      <w:szCs w:val="20"/>
    </w:rPr>
  </w:style>
  <w:style w:type="paragraph" w:customStyle="1" w:styleId="ConsPlusNormal">
    <w:name w:val="ConsPlusNormal"/>
    <w:uiPriority w:val="99"/>
    <w:pPr>
      <w:widowControl w:val="0"/>
    </w:pPr>
    <w:rPr>
      <w:rFonts w:eastAsia="Times New Roman"/>
      <w:color w:val="00000A"/>
      <w:sz w:val="24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/>
      <w:b/>
      <w:color w:val="00000A"/>
      <w:sz w:val="24"/>
      <w:szCs w:val="20"/>
    </w:rPr>
  </w:style>
  <w:style w:type="paragraph" w:customStyle="1" w:styleId="a4">
    <w:name w:val="Нормальный"/>
    <w:uiPriority w:val="99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705"/>
      <w:jc w:val="both"/>
    </w:pPr>
    <w:rPr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9186B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pPr>
      <w:spacing w:beforeAutospacing="1" w:afterAutospacing="1"/>
    </w:p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86B"/>
    <w:rPr>
      <w:rFonts w:ascii="Times New Roman" w:eastAsia="Times New Roman" w:hAnsi="Times New Roman" w:cs="Times New Roman"/>
      <w:color w:val="00000A"/>
      <w:sz w:val="0"/>
      <w:szCs w:val="0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86B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86B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a5">
    <w:name w:val="Содержимое таблицы"/>
    <w:basedOn w:val="Normal"/>
    <w:uiPriority w:val="99"/>
    <w:rsid w:val="00CD08F3"/>
  </w:style>
  <w:style w:type="paragraph" w:customStyle="1" w:styleId="a6">
    <w:name w:val="Заголовок таблицы"/>
    <w:basedOn w:val="a5"/>
    <w:uiPriority w:val="99"/>
    <w:rsid w:val="00CD08F3"/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3582</Words>
  <Characters>20420</Characters>
  <Application>Microsoft Office Outlook</Application>
  <DocSecurity>0</DocSecurity>
  <Lines>0</Lines>
  <Paragraphs>0</Paragraphs>
  <ScaleCrop>false</ScaleCrop>
  <Company>КонсультантПлюс Версия 4017.00.99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Арзамасской городской Думы Нижегородской области от 15.10.2009 N 103"О комплексной целевой программе "Улучшение условий и охраны труда на предприятиях и в организациях г. Арзамаса" на 2010 - 2012 гг."</dc:title>
  <dc:subject/>
  <dc:creator>urist3</dc:creator>
  <cp:keywords/>
  <dc:description/>
  <cp:lastModifiedBy>odin</cp:lastModifiedBy>
  <cp:revision>2</cp:revision>
  <cp:lastPrinted>2018-12-04T13:52:00Z</cp:lastPrinted>
  <dcterms:created xsi:type="dcterms:W3CDTF">2018-12-26T06:00:00Z</dcterms:created>
  <dcterms:modified xsi:type="dcterms:W3CDTF">2018-12-26T06:00:00Z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