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BB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48A1">
        <w:rPr>
          <w:rFonts w:ascii="Times New Roman" w:hAnsi="Times New Roman" w:cs="Times New Roman"/>
          <w:sz w:val="24"/>
          <w:szCs w:val="24"/>
        </w:rPr>
        <w:t>УТВЕРЖДЕНЫ</w:t>
      </w:r>
    </w:p>
    <w:p w:rsidR="006648A1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6648A1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Шатковского муниципального</w:t>
      </w:r>
    </w:p>
    <w:p w:rsidR="006648A1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округа Нижегородской области</w:t>
      </w:r>
    </w:p>
    <w:p w:rsidR="006648A1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от____________2026г.</w:t>
      </w:r>
      <w:r w:rsidR="00E152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 _____</w:t>
      </w:r>
    </w:p>
    <w:p w:rsidR="006648A1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48A1" w:rsidRDefault="006648A1" w:rsidP="006648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48A1" w:rsidRPr="006648A1" w:rsidRDefault="006648A1" w:rsidP="00664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A1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6648A1" w:rsidRPr="006648A1" w:rsidRDefault="006648A1" w:rsidP="00664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A1">
        <w:rPr>
          <w:rFonts w:ascii="Times New Roman" w:hAnsi="Times New Roman" w:cs="Times New Roman"/>
          <w:b/>
          <w:sz w:val="24"/>
          <w:szCs w:val="24"/>
        </w:rPr>
        <w:t xml:space="preserve">В МЕСТНЫЕ НОРМАТИВЫ ГРАДОСТРОИТЕЛЬНОГО ПРОЕКТИРОВАНИЯ </w:t>
      </w:r>
    </w:p>
    <w:p w:rsidR="006648A1" w:rsidRDefault="006648A1" w:rsidP="00664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A1">
        <w:rPr>
          <w:rFonts w:ascii="Times New Roman" w:hAnsi="Times New Roman" w:cs="Times New Roman"/>
          <w:b/>
          <w:sz w:val="24"/>
          <w:szCs w:val="24"/>
        </w:rPr>
        <w:t>ШАТКОВСКОГО МУНИЦИПАЛЬНОГО ОКРУГА НИЖ</w:t>
      </w:r>
      <w:r>
        <w:rPr>
          <w:rFonts w:ascii="Times New Roman" w:hAnsi="Times New Roman" w:cs="Times New Roman"/>
          <w:b/>
          <w:sz w:val="24"/>
          <w:szCs w:val="24"/>
        </w:rPr>
        <w:t xml:space="preserve">ЕГОРОДСКОЙ ОБЛАСТИ,  </w:t>
      </w:r>
      <w:r w:rsidRPr="006648A1">
        <w:rPr>
          <w:rFonts w:ascii="Times New Roman" w:hAnsi="Times New Roman" w:cs="Times New Roman"/>
          <w:b/>
          <w:sz w:val="24"/>
          <w:szCs w:val="24"/>
        </w:rPr>
        <w:t>УТВЕРЖДЕННЫЕ ПОСТАНОВЛЕНИЕМ АДМИНИСТРАЦИИ ШАТКОВСКОГО МУНИЦИПАЛЬНОГО ОКРУГА  Н</w:t>
      </w:r>
      <w:r w:rsidR="00E1527F">
        <w:rPr>
          <w:rFonts w:ascii="Times New Roman" w:hAnsi="Times New Roman" w:cs="Times New Roman"/>
          <w:b/>
          <w:sz w:val="24"/>
          <w:szCs w:val="24"/>
        </w:rPr>
        <w:t xml:space="preserve">ИЖЕГОРОДСКОЙ ОБЛАСТИ ОТ   8.05.2024 </w:t>
      </w:r>
      <w:r w:rsidRPr="006648A1">
        <w:rPr>
          <w:rFonts w:ascii="Times New Roman" w:hAnsi="Times New Roman" w:cs="Times New Roman"/>
          <w:b/>
          <w:sz w:val="24"/>
          <w:szCs w:val="24"/>
        </w:rPr>
        <w:t xml:space="preserve"> № 518</w:t>
      </w:r>
    </w:p>
    <w:p w:rsidR="006648A1" w:rsidRDefault="006648A1" w:rsidP="00664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C21" w:rsidRDefault="002C2C21" w:rsidP="00A63856">
      <w:pPr>
        <w:pStyle w:val="a3"/>
        <w:spacing w:after="0" w:line="24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6CD4">
        <w:rPr>
          <w:rFonts w:ascii="Times New Roman" w:hAnsi="Times New Roman" w:cs="Times New Roman"/>
          <w:sz w:val="24"/>
          <w:szCs w:val="24"/>
        </w:rPr>
        <w:t xml:space="preserve"> Раздел</w:t>
      </w:r>
      <w:r w:rsidRPr="002C2C21">
        <w:rPr>
          <w:rFonts w:ascii="Times New Roman" w:hAnsi="Times New Roman" w:cs="Times New Roman"/>
          <w:sz w:val="24"/>
          <w:szCs w:val="24"/>
        </w:rPr>
        <w:t xml:space="preserve"> 1 «Общие положения»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2C2C21">
        <w:rPr>
          <w:rFonts w:ascii="Times New Roman" w:hAnsi="Times New Roman" w:cs="Times New Roman"/>
          <w:sz w:val="24"/>
          <w:szCs w:val="24"/>
        </w:rPr>
        <w:t>ополнить пунктами 1.7 , 1.8 следующего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2C21" w:rsidRDefault="002C2C21" w:rsidP="002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«1.7.</w:t>
      </w:r>
      <w:r w:rsidRPr="002C2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Санитарно-защитные зоны и разрывы при размещении объектов определяются в каждом конкретном случае в соответствии с требованиями действующих государственных санитарно-эпидемиологических правил и нормативов».</w:t>
      </w:r>
    </w:p>
    <w:p w:rsidR="002C2C21" w:rsidRDefault="002C2C21" w:rsidP="002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«1.8. Требования пожарной безопасности должны соблюдаться при подготовке документации по планировке территории и проектной документации по строительству, реконструкции объекта капитального строительства.</w:t>
      </w:r>
    </w:p>
    <w:p w:rsidR="002C2C21" w:rsidRDefault="002C2C21" w:rsidP="002C2C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Согласование комплекса необходимых инженерно-технических и организационных мероприятий по обеспечению пожарной безопасности для объектов защиты, в отношении которых отсутствуют требования пожарной безопасности, </w:t>
      </w:r>
      <w:r w:rsidR="0058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установленные нормативными правовыми актами Российской Федерации и нормативными документами по пожарной безопасности, производится в порядке, установленном</w:t>
      </w:r>
      <w:r w:rsidR="00581A93">
        <w:rPr>
          <w:rFonts w:ascii="Times New Roman" w:hAnsi="Times New Roman" w:cs="Times New Roman"/>
          <w:sz w:val="24"/>
          <w:szCs w:val="24"/>
        </w:rPr>
        <w:t xml:space="preserve"> </w:t>
      </w:r>
      <w:r w:rsidRPr="00581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Pr="00581A9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МЧС России от 28 ноября 2011 г. N 710 "Об утверждении Административного регламента Министерства Российской Федерации по делам гражданской обороны, чрезвычайным ситуациям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 ликвидации последствий стихийных бедствий предоставления государственной услуги по согласованию специальных технических условий для объектов, в отношении которых отсутствуют требования пожарной безопасности,</w:t>
      </w:r>
      <w:r w:rsidR="00581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нормативными правовыми актами Российской Федерации и нормативными документами по пожарной безопасности, отражающих специфику обеспечения их пожарной безопасности и содержащих комплекс необходимых инженерно-технических и организационных мероприятий по обеспечению их пожарной безопасности"».</w:t>
      </w:r>
      <w:proofErr w:type="gramEnd"/>
    </w:p>
    <w:p w:rsidR="002C2C21" w:rsidRDefault="00E268EE" w:rsidP="00A63856">
      <w:pPr>
        <w:autoSpaceDE w:val="0"/>
        <w:autoSpaceDN w:val="0"/>
        <w:adjustRightInd w:val="0"/>
        <w:spacing w:before="24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разделе V 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главы 14:</w:t>
      </w:r>
    </w:p>
    <w:p w:rsidR="00E268EE" w:rsidRDefault="00E268EE" w:rsidP="00E268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пункт 14.1 изложить в следующей редакции: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«14.1</w:t>
      </w:r>
      <w:r w:rsidR="00CE499D">
        <w:rPr>
          <w:rFonts w:ascii="Times New Roman" w:hAnsi="Times New Roman" w:cs="Times New Roman"/>
          <w:sz w:val="24"/>
          <w:szCs w:val="24"/>
        </w:rPr>
        <w:t>.</w:t>
      </w:r>
      <w:r w:rsidR="00CB70B3">
        <w:rPr>
          <w:rFonts w:ascii="Times New Roman" w:hAnsi="Times New Roman" w:cs="Times New Roman"/>
          <w:sz w:val="24"/>
          <w:szCs w:val="24"/>
        </w:rPr>
        <w:t>1.</w:t>
      </w:r>
      <w:r w:rsidRPr="00E268EE">
        <w:rPr>
          <w:rFonts w:ascii="Times New Roman" w:hAnsi="Times New Roman" w:cs="Times New Roman"/>
          <w:sz w:val="24"/>
          <w:szCs w:val="24"/>
        </w:rPr>
        <w:t>На территориях жилых, общественно-деловых, производственных и рекреационных зон следует обеспечивать возможность велосипедного движения, а также движения лиц, использующих для передвижения средства индивидуальной мобильности.</w:t>
      </w:r>
    </w:p>
    <w:p w:rsidR="00E268EE" w:rsidRPr="00E268EE" w:rsidRDefault="00CB70B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14.1.2</w:t>
      </w:r>
      <w:r w:rsidR="00E268EE" w:rsidRPr="00E268EE">
        <w:rPr>
          <w:rFonts w:ascii="Times New Roman" w:hAnsi="Times New Roman" w:cs="Times New Roman"/>
          <w:sz w:val="24"/>
          <w:szCs w:val="24"/>
        </w:rPr>
        <w:t>. При формировании велоинфраструктуры маршруты движения, включая их пересечения, велосипедистов и лиц, использующих для движения средства индивидуальной мобильности, должны соответствовать требованиям, предъявляемым к системе улиц и дорог на территории населенного пункта, по которым проложены указанные маршруты.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В целях повышения пропускной способности улиц и дорог и обеспечения безопасности движения следует руководствоваться условиями доступа транспортных средств.</w:t>
      </w:r>
    </w:p>
    <w:p w:rsidR="00E268EE" w:rsidRPr="00E268EE" w:rsidRDefault="00FE4D90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</w:t>
      </w:r>
      <w:r w:rsidR="00CB70B3">
        <w:rPr>
          <w:rFonts w:ascii="Times New Roman" w:hAnsi="Times New Roman" w:cs="Times New Roman"/>
          <w:sz w:val="24"/>
          <w:szCs w:val="24"/>
        </w:rPr>
        <w:t>.3</w:t>
      </w:r>
      <w:r w:rsidR="00E268EE" w:rsidRPr="00E268EE">
        <w:rPr>
          <w:rFonts w:ascii="Times New Roman" w:hAnsi="Times New Roman" w:cs="Times New Roman"/>
          <w:sz w:val="24"/>
          <w:szCs w:val="24"/>
        </w:rPr>
        <w:t>. Велокоммуникации, являющиеся частью поперечного профиля улицы или дороги, следует располагать между проезжей частью улицы или дороги и пешеходными путями.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lastRenderedPageBreak/>
        <w:t>В зонах массового отдыха населения и на других озелененных территориях следует предусматривать велодорожки, изолированные от улиц, дорог и пешеходного движения.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Следует разделять пешеходное и велосипедное движение, в том числе движение средств индивидуальной мобильности. Велокоммуникации следует располагать таким образом, чтобы обеспечить минимальное количество пересечений пешеходных и велосипедных потоков.</w:t>
      </w:r>
    </w:p>
    <w:p w:rsidR="00E268EE" w:rsidRPr="00E268EE" w:rsidRDefault="00CB70B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14.1.4</w:t>
      </w:r>
      <w:r w:rsidR="00E268EE" w:rsidRPr="00E268EE">
        <w:rPr>
          <w:rFonts w:ascii="Times New Roman" w:hAnsi="Times New Roman" w:cs="Times New Roman"/>
          <w:sz w:val="24"/>
          <w:szCs w:val="24"/>
        </w:rPr>
        <w:t>. По организации движения выделяют велокоммуникации одностороннего и двухстороннего движения. На проезжей части велокоммуникации допускается устраивать только одностороннего движения. При устройстве велокоммуникаций в составе улицы следует предусматривать велосипедные дорожки или велосипедные полосы для движения в обоих направлениях.</w:t>
      </w:r>
    </w:p>
    <w:p w:rsidR="00E268EE" w:rsidRPr="00E268EE" w:rsidRDefault="00CB70B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14.1.5</w:t>
      </w:r>
      <w:r w:rsidR="00E268EE" w:rsidRPr="00E268EE">
        <w:rPr>
          <w:rFonts w:ascii="Times New Roman" w:hAnsi="Times New Roman" w:cs="Times New Roman"/>
          <w:sz w:val="24"/>
          <w:szCs w:val="24"/>
        </w:rPr>
        <w:t>. Расчетную скорость для движения велосипедистов и лиц, использующих для передвижения средства индивидуальной мобильности, следует принимать 30 км/ч. На подъездах к пересечениям или подземным проходам расчетная скорость может быть снижена до 10 км/ч.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Количество полос движения назначается в зависимости от прогнозируемой интенсивности велосипедного движения из расчета 1500 вел</w:t>
      </w:r>
      <w:proofErr w:type="gramStart"/>
      <w:r w:rsidRPr="00E268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68EE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E268E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E268EE">
        <w:rPr>
          <w:rFonts w:ascii="Times New Roman" w:hAnsi="Times New Roman" w:cs="Times New Roman"/>
          <w:sz w:val="24"/>
          <w:szCs w:val="24"/>
        </w:rPr>
        <w:t xml:space="preserve"> на одну велосипедную полосу при одностороннем движении, 1000 вел./ч на одну велосипедную полосу при двухстороннем движении.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Ширину велокоммуникаций следует принимать по расчету необходимого количества полос движения. Ширину одной полосы сле</w:t>
      </w:r>
      <w:r w:rsidR="00DE7A5C">
        <w:rPr>
          <w:rFonts w:ascii="Times New Roman" w:hAnsi="Times New Roman" w:cs="Times New Roman"/>
          <w:sz w:val="24"/>
          <w:szCs w:val="24"/>
        </w:rPr>
        <w:t>дует принимать по таблице 14.1</w:t>
      </w:r>
      <w:r w:rsidRPr="00E268EE">
        <w:rPr>
          <w:rFonts w:ascii="Times New Roman" w:hAnsi="Times New Roman" w:cs="Times New Roman"/>
          <w:sz w:val="24"/>
          <w:szCs w:val="24"/>
        </w:rPr>
        <w:t>.</w:t>
      </w:r>
      <w:r w:rsidR="00CB70B3">
        <w:rPr>
          <w:rFonts w:ascii="Times New Roman" w:hAnsi="Times New Roman" w:cs="Times New Roman"/>
          <w:sz w:val="24"/>
          <w:szCs w:val="24"/>
        </w:rPr>
        <w:t>1.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268EE" w:rsidRPr="00E268EE" w:rsidRDefault="00DE7A5C" w:rsidP="00E268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14.1</w:t>
      </w:r>
      <w:r w:rsidR="00CB70B3">
        <w:rPr>
          <w:rFonts w:ascii="Times New Roman" w:hAnsi="Times New Roman" w:cs="Times New Roman"/>
          <w:sz w:val="24"/>
          <w:szCs w:val="24"/>
        </w:rPr>
        <w:t>.1.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Ширина велокоммуникаций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9"/>
        <w:gridCol w:w="2098"/>
        <w:gridCol w:w="1928"/>
      </w:tblGrid>
      <w:tr w:rsidR="00E268EE" w:rsidRPr="00E268EE"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Тип велокоммуникации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Ширина полосы, 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, при движении</w:t>
            </w:r>
          </w:p>
        </w:tc>
      </w:tr>
      <w:tr w:rsidR="00E268EE" w:rsidRPr="00E268EE"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одностороннем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двухстороннем</w:t>
            </w:r>
          </w:p>
        </w:tc>
      </w:tr>
      <w:tr w:rsidR="00E268EE" w:rsidRPr="00E268EE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Полоса, выделенная в пределах полосы движения автомобилей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8EE" w:rsidRPr="00E268EE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Полоса, совмещенная с проезжей частью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1,5 &lt;*&gt;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68EE" w:rsidRPr="00E268EE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Полоса, отделенная от проезжей части парковкой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68EE" w:rsidRPr="00E268EE"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Велосипедная дорожка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68EE" w:rsidRPr="00E268EE"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Примечание - знаком &lt;*&gt; отмечено значение ширины полосы, которое допускается уменьшать до 1,2 при попутном движении</w:t>
            </w:r>
          </w:p>
        </w:tc>
      </w:tr>
    </w:tbl>
    <w:p w:rsidR="00E268EE" w:rsidRPr="00E268EE" w:rsidRDefault="00E268EE" w:rsidP="003332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 xml:space="preserve">Минимальный допустимый радиус для велокоммуникаций следует принимать по таблице </w:t>
      </w:r>
      <w:r w:rsidR="00CB70B3">
        <w:rPr>
          <w:rFonts w:ascii="Times New Roman" w:hAnsi="Times New Roman" w:cs="Times New Roman"/>
          <w:sz w:val="24"/>
          <w:szCs w:val="24"/>
        </w:rPr>
        <w:t>14.2.2.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B70B3">
        <w:rPr>
          <w:rFonts w:ascii="Times New Roman" w:hAnsi="Times New Roman" w:cs="Times New Roman"/>
          <w:sz w:val="24"/>
          <w:szCs w:val="24"/>
        </w:rPr>
        <w:t>14.2.2.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Минимальные радиусы кривых в плане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9"/>
        <w:gridCol w:w="4510"/>
      </w:tblGrid>
      <w:tr w:rsidR="00E268EE" w:rsidRPr="00E268EE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Расчетная скорость, 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радиус, 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E268EE" w:rsidRPr="00E268EE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268EE" w:rsidRPr="00E268EE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lastRenderedPageBreak/>
        <w:t>Продольный уклон велокоммуникаций должен соответствовать продольному уклону проезжей части. При продольных уклонах более 50% следует увеличивать ширину велокоммуникаций в 1,5 раза. Продольные уклоны велокоммуникаций следует назначать не более 70%.</w:t>
      </w:r>
    </w:p>
    <w:p w:rsidR="00E268EE" w:rsidRPr="00E268EE" w:rsidRDefault="00CB70B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14.1.6</w:t>
      </w:r>
      <w:r w:rsidR="00E268EE" w:rsidRPr="00E268EE">
        <w:rPr>
          <w:rFonts w:ascii="Times New Roman" w:hAnsi="Times New Roman" w:cs="Times New Roman"/>
          <w:sz w:val="24"/>
          <w:szCs w:val="24"/>
        </w:rPr>
        <w:t>. Размещение велостоянок и стоянок средств индивидуальной мобильности следует предусматривать у объектов массового посещения, станций скоростного внеуличного транспорта (железнодорожный транспорт, метрополитен, скоростной трамвай), на транспортно-пересадочных узлах и тротуарах (при условии обеспечения пропускной способности). Велостоянки и стоянки средств индивидуальной мобильности допускается располагать рядом друг с другом.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Парковочные устройства, велосипеды и средства индивидуальной мобильности не должны создавать препятствий для движения пешеходов.</w:t>
      </w:r>
    </w:p>
    <w:p w:rsidR="00E268EE" w:rsidRPr="00E268EE" w:rsidRDefault="008A6CD4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</w:t>
      </w:r>
      <w:r w:rsidR="00E268EE" w:rsidRPr="00E268EE">
        <w:rPr>
          <w:rFonts w:ascii="Times New Roman" w:hAnsi="Times New Roman" w:cs="Times New Roman"/>
          <w:sz w:val="24"/>
          <w:szCs w:val="24"/>
        </w:rPr>
        <w:t>.7. Требуемое число мест для паркования велосипедов и средств индивидуальной мобильности следует определять раздельно для каждого объекта различного функционального назначения.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>Для многофункциональных объектов расчет следует проводить раздельно в зависимости от параметров каждой функциональной части объекта, а затем суммировать для всего объекта.</w:t>
      </w:r>
    </w:p>
    <w:p w:rsidR="00E268EE" w:rsidRPr="00E268EE" w:rsidRDefault="008A6CD4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</w:t>
      </w:r>
      <w:r w:rsidR="00E268EE" w:rsidRPr="00E268EE">
        <w:rPr>
          <w:rFonts w:ascii="Times New Roman" w:hAnsi="Times New Roman" w:cs="Times New Roman"/>
          <w:sz w:val="24"/>
          <w:szCs w:val="24"/>
        </w:rPr>
        <w:t>.8. Рекомендуемые значения количества парковочных мест для</w:t>
      </w:r>
      <w:r>
        <w:rPr>
          <w:rFonts w:ascii="Times New Roman" w:hAnsi="Times New Roman" w:cs="Times New Roman"/>
          <w:sz w:val="24"/>
          <w:szCs w:val="24"/>
        </w:rPr>
        <w:t xml:space="preserve"> велосипедов указаны в таблице 14.1</w:t>
      </w:r>
      <w:r w:rsidR="00E268EE" w:rsidRPr="00E268EE">
        <w:rPr>
          <w:rFonts w:ascii="Times New Roman" w:hAnsi="Times New Roman" w:cs="Times New Roman"/>
          <w:sz w:val="24"/>
          <w:szCs w:val="24"/>
        </w:rPr>
        <w:t>.3 настоящих Нормативов.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8EE" w:rsidRPr="00E268EE" w:rsidRDefault="00CB70B3" w:rsidP="00E268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14.1</w:t>
      </w:r>
      <w:r w:rsidR="00E268EE" w:rsidRPr="00E268EE">
        <w:rPr>
          <w:rFonts w:ascii="Times New Roman" w:hAnsi="Times New Roman" w:cs="Times New Roman"/>
          <w:sz w:val="24"/>
          <w:szCs w:val="24"/>
        </w:rPr>
        <w:t>.3</w:t>
      </w:r>
    </w:p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5046"/>
        <w:gridCol w:w="3345"/>
      </w:tblGrid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Тип объекта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Число парковочных мест для велосипедов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Объекты административно-делового назначения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Коммерческо-деловые центры, офисные здания и помещения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2 - 4 на 100 м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 площади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Банки и банковские утверждения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2 - 4 на 100 м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 площади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Объекты науки и учебно-образовательного назначения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Высшие учебные заведения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60 на 100 студентов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50 на 100 школьников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Объекты торгово-бытового и коммунального назначения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объекты торгового назначения с широким ассортиментом товаров продовольственной и непродовольственной групп (отдельно стоящие супермаркеты)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5 - 7 на 100 м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 площади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Торговые центры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6 - 8 на 100 м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 площади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Объекты культуры и досуга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Театры, концертные залы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20 - 25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25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Развлекательные центры, дискотеки, ночные </w:t>
            </w:r>
            <w:r w:rsidRPr="00E2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Аттракционы/тематические парки развлечений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10 - 15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Места отдыха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20 - 35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Лечебные учреждения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Поликлиники, в том числе амбулатории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25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Больницы, профилактории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30 на 100 койко-мест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клиники, реабилитационные центры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20 на 100 койко-мест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Интернаты и пансионаты для престарелых и инвалидов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10 на 100 койко-мест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объекты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Спортивные комплексы и стадионы с трибунами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20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Спортивные площадки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20 на поле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Оздоровительные комплексы (</w:t>
            </w:r>
            <w:proofErr w:type="gramStart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фитнес-клубы</w:t>
            </w:r>
            <w:proofErr w:type="gramEnd"/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, ФОКи, спортивные и тренажерные залы)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35 на 100 посетителей</w:t>
            </w:r>
          </w:p>
        </w:tc>
      </w:tr>
      <w:tr w:rsidR="00E268EE" w:rsidRPr="00E268E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Аквапарки, бассейны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EE" w:rsidRPr="00E268EE" w:rsidRDefault="00E268EE" w:rsidP="00E2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E">
              <w:rPr>
                <w:rFonts w:ascii="Times New Roman" w:hAnsi="Times New Roman" w:cs="Times New Roman"/>
                <w:sz w:val="24"/>
                <w:szCs w:val="24"/>
              </w:rPr>
              <w:t>до 20 - 25 на 100 посетителей</w:t>
            </w:r>
          </w:p>
        </w:tc>
      </w:tr>
    </w:tbl>
    <w:p w:rsidR="00E268EE" w:rsidRPr="00E268EE" w:rsidRDefault="00E268EE" w:rsidP="00E268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A93" w:rsidRDefault="00E268EE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8EE">
        <w:rPr>
          <w:rFonts w:ascii="Times New Roman" w:hAnsi="Times New Roman" w:cs="Times New Roman"/>
          <w:sz w:val="24"/>
          <w:szCs w:val="24"/>
        </w:rPr>
        <w:t xml:space="preserve">Минимальное количество парковочных мест для средств индивидуальной мобильности следует определять по расчету согласно </w:t>
      </w:r>
      <w:hyperlink r:id="rId6" w:history="1">
        <w:r w:rsidRPr="00581A9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</w:t>
        </w:r>
        <w:proofErr w:type="gramStart"/>
        <w:r w:rsidRPr="00581A9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</w:t>
        </w:r>
        <w:proofErr w:type="gramEnd"/>
      </w:hyperlink>
      <w:r w:rsidRPr="00E268EE">
        <w:rPr>
          <w:rFonts w:ascii="Times New Roman" w:hAnsi="Times New Roman" w:cs="Times New Roman"/>
          <w:sz w:val="24"/>
          <w:szCs w:val="24"/>
        </w:rPr>
        <w:t xml:space="preserve"> к "СП 396.1325800.2018. Свод правил. Улицы и дороги населенных пунктов. Правила градостроительного проектирования", утвержденному </w:t>
      </w:r>
      <w:hyperlink r:id="rId7" w:history="1">
        <w:r w:rsidRPr="00581A9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E268EE">
        <w:rPr>
          <w:rFonts w:ascii="Times New Roman" w:hAnsi="Times New Roman" w:cs="Times New Roman"/>
          <w:sz w:val="24"/>
          <w:szCs w:val="24"/>
        </w:rPr>
        <w:t xml:space="preserve"> Министерства строительства и жилищно-коммунального хозяйства Российской Федерации от 1 августа 2018 г. N 474/пр.</w:t>
      </w:r>
    </w:p>
    <w:p w:rsidR="00581A93" w:rsidRDefault="00581A9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70B3" w:rsidRDefault="00CB70B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пункт 14.11. изложить в следующей редакции:</w:t>
      </w:r>
    </w:p>
    <w:p w:rsidR="000E71E2" w:rsidRDefault="000E71E2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70B3" w:rsidRDefault="00CB70B3" w:rsidP="00CB7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«Территория жилого комплекса должна быть обеспечена двумя или более въездами (выездами) на территорию с различных улиц. В условиях примыкания жилого комплекса к одной улице территория жилого комплекса должна быть обеспечена двумя или более въездами (выездами) с данной улицы.</w:t>
      </w:r>
    </w:p>
    <w:p w:rsidR="00CB70B3" w:rsidRDefault="00CB70B3" w:rsidP="00E706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Проезды и подъезды для пожарной техники следует предусматривать в соответствии с требованиями Федерального</w:t>
      </w:r>
      <w:r w:rsidRPr="00F16E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F16E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22 июля 2008 г. N 123-ФЗ "Технический регламент о требованиях пожарной безопасности" и иными нормативными документами по пожарной безопасности, а также положениями </w:t>
      </w:r>
      <w:hyperlink r:id="rId9" w:history="1">
        <w:r w:rsidRPr="00F16EF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 4.13130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решениям",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24 апреля 2013 г. N 288.</w:t>
      </w:r>
      <w:r w:rsidR="00581A93">
        <w:rPr>
          <w:rFonts w:ascii="Times New Roman" w:hAnsi="Times New Roman" w:cs="Times New Roman"/>
          <w:sz w:val="24"/>
          <w:szCs w:val="24"/>
        </w:rPr>
        <w:t>»</w:t>
      </w:r>
    </w:p>
    <w:p w:rsidR="00F75393" w:rsidRDefault="00F75393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70B3" w:rsidRDefault="00A63856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85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FAB">
        <w:rPr>
          <w:rFonts w:ascii="Times New Roman" w:hAnsi="Times New Roman" w:cs="Times New Roman"/>
          <w:sz w:val="24"/>
          <w:szCs w:val="24"/>
        </w:rPr>
        <w:t xml:space="preserve">Главу 15 изложить в </w:t>
      </w:r>
      <w:r w:rsidR="00F75393">
        <w:rPr>
          <w:rFonts w:ascii="Times New Roman" w:hAnsi="Times New Roman" w:cs="Times New Roman"/>
          <w:sz w:val="24"/>
          <w:szCs w:val="24"/>
        </w:rPr>
        <w:t xml:space="preserve"> новой редакции:</w:t>
      </w:r>
    </w:p>
    <w:p w:rsidR="00F75393" w:rsidRPr="00F75393" w:rsidRDefault="007F32F7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_RefHeading__9101_1357057103"/>
      <w:bookmarkStart w:id="1" w:name="P2153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</w:t>
      </w:r>
      <w:r w:rsidR="00F75393" w:rsidRPr="00F75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15.1. </w:t>
      </w:r>
      <w:r w:rsidR="00F75393"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строительстве и реконструкции объектов капитального строительства предусматриваются парковочные места, которые определяются расчетом в соответствии с настоящими Нормативами.</w:t>
      </w:r>
    </w:p>
    <w:p w:rsid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Парковочные места размещаются в пределах земельного участка, предоставленного в установленном порядке под строительство (реконструкцию) объекта капитального строительства и планируемого в дальнейшем к передаче правообладателям такого объекта для его эксплуатации, с учетом особенностей, предусмотренных настоящим разделом.</w:t>
      </w:r>
    </w:p>
    <w:p w:rsidR="00F75393" w:rsidRDefault="00F75393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Парковочные места надлежит размещать таким образом, чтобы исключить возможность создания препятствий и помех подъезду специальных и специализированных транспортных средств (пожарных автомобилей и автомобилей скорой медицинской помощи, иных специальных и специализированных транспортных средств) к объектам капитального строительства.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строительстве и реконструкции объектов капитального строительства в целях размещения парковочных ме</w:t>
      </w: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 в гр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аницах жилых и общественно-деловых зон следует максимально использовать подземное пространство.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новом строительстве, а также при реконструкции объектов капитального строительства допускается использовать для размещения парковочных мест постоянного и временного хранения легкового автотранспорта объекты улично-дорожной сети, при </w:t>
      </w: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условии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если такое размещение осуществляется в специально оборудованных местах (парковочных карманах) и не приводит к снижению интенсивности и скорости движения, в том числе общественного транспорта, возникновению сложностей с обслуживанием улично-дорожной сети и инженерных коммуникаций. Размещение парковочных мест на объектах улично-дорожной сети допускается по согласованию с министерством транспорта и автомобильных дорог Нижегородской области и структурным подразделением органа местного самоуправления, реализующего полномочия в области дорожной деятельности. 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проектировании объекта с расчетным количеством парковочных мест от 200 и более необходимо представлять результаты расчетов транспортного компьютерного моделирования потоков. В составе расчетов определяется изменение уровня обслуживания движения и иных параметров с учетом влияния проектируемого объекта на обслуживающую его улично-дорожную сеть, а также прилегающую улично-дорожную сеть в границах распространения его перспективного влияния. 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 территории городов следует разрабатывать схемы размещения сооружений для хранения легковых автомобилей.</w:t>
      </w:r>
    </w:p>
    <w:p w:rsidR="00F75393" w:rsidRPr="00F75393" w:rsidRDefault="00F75393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 основе разработанных схем в проектах планировки, застройки и реконструкции жилых территорий сооружения для хранения и парковки легковых автомобилей размещаются с учетом функционально-планировочного решения территории и особенностей застройки (существующей и проектируемой) жилого района, микрорайона, жилой группы, участка.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Размещение стоянок автомобилей осуществляется при условии соблюдения действующих государственных санитарно-эпидемиологических правил и нормативов. Парковочные места грузовых автомобилей и автобусов (транспортных сре</w:t>
      </w: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азрешенной максимальной массой более 3,5 тонны и транспортных средств, предназначенных для перевозки пассажиров и имеющих более 8 сидячих мест, не считая места водителя) размещаются в производственных зонах и на территориях промышленных предприятий.</w:t>
      </w:r>
    </w:p>
    <w:p w:rsid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Гаражи ведомственных автомобилей и легковых автомобилей специального назначения, грузовых автомобилей, такси необходимо размещать в производственных и коммунально-складских зонах.</w:t>
      </w:r>
    </w:p>
    <w:p w:rsidR="00F75393" w:rsidRDefault="00F75393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Проектирование зданий и сооружений для размещения стоянок автомобилей необходимо осуществлять в соответствии с </w:t>
      </w:r>
      <w:hyperlink r:id="rId10" w:history="1">
        <w:r w:rsidRPr="007F32F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 113.13330.2023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"СНиП 21-02-99*. Стоянки автомобилей", утвержденным приказом Министерства строительства и жилищно-коммунального хозяйства Российской Федерации от 5 октября 2023 г. N 718/пр.</w:t>
      </w:r>
    </w:p>
    <w:p w:rsidR="00F75393" w:rsidRDefault="00F75393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районах с неблагоприятной гидрогеологической обстановкой, ограничивающей или исключающей возможность устройства подземных стоянок автомобилей, обеспечение парковочными местами следует предусматривать посредством строительства наземных и наземно-подземных сооружений с последующей обсыпкой грунтом и использованием земляной кровли для обустройства спортивных площадок, хозяйственных площадок, площадок для выгула домашних животных.</w:t>
      </w:r>
    </w:p>
    <w:p w:rsidR="00F75393" w:rsidRDefault="0081372A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</w:t>
      </w:r>
      <w:r w:rsidR="00F75393"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анитарные разрывы от стоянок автомобилей до объектов различного назначения принимаются в соответствии с требованиями СанПиН 2.2.1/2.1.1.1200-03 "Санитарно-защитные зоны и санитарная классификация предприятий, сооружений и иных объектов", утвержденных постановлением Главного государственного санитарного врача Российской Федерации от 25 сентября 2007 г. № 74.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15.2. В составе проекта планировки территории в рамках определения очередности (этапности) строительства (реконструкции) объектов капитального строительства для каждой очереди (каждого этапа) строительства (реконструкции) должно быть сформировано 100 % обеспеченности местами для постоянного хранения личных легковых автомобилей граждан и местами временного хранения автомобилей, расчетное количество которых определяется в соответствии с настоящими Нормативами.</w:t>
      </w:r>
    </w:p>
    <w:p w:rsidR="00F75393" w:rsidRDefault="00F75393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целях обеспечения размещения расчетного количества парковочных мест при подготовке документации по планировке территории допускается образование многоконтурных земельных участков.</w:t>
      </w:r>
    </w:p>
    <w:p w:rsidR="0081372A" w:rsidRDefault="0081372A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размещении парковочных мест, расчетное количество которых определяется в соответствии с настоящими Нормативами, следует предусматривать места для хранения электромобилей и гибридных автомобилей, в том числе оборудованных зарядными устройствами, в количестве не менее 5% от общего числа мест.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15.3. Особенности расчета и размещения парковочных мест при строительстве и реконструкции жилой застройки.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 территории жилых зон (жилых кварталов) допускается размещение стоянок автомобилей вместимостью не более 500 парковочных мест, за исключением: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подземных стоянок, вместимость которых не ограничивается;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плоскостных стоянок открытого типа (открытых площадок), вместимость которых не может превышать 300 парковочных мест.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Расчетный показатель обеспеченности парковочными местами для постоянного хранения легковых автомобилей жителей для жилой многоквартирной застройки (жилых кварталов, жилых комплексов, групп жилых домов, отдельно-стоящих жилых зданий) составляет 1 парковочное место на 85 кв. м общей площади квартир в многоквартирном доме.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строительстве и реконструкции многоквартирных домов допускается следующая вариативность размещения мест постоянного хранения легковых автотранспортных средств жителей (далее - парковочные места постоянного хранения):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а) 50% парковочных мест постоянного хранения размещается непосредственно в границах земельных участков многоквартирных домов и 50% - в пределах пешеходной доступности, принятой по существующим общедоступным пешеходным связям и не превышающей 800 м при соблюдении следующих условий: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строительство застройщиком стоянки автомобилей в виде здания или сооружения, использование такой стоянки автомобилей возможно в целях обеспечения потребности в парковочных местах постоянного хранения жителей нескольких многоквартирных домов;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 размещение стоянки автомобилей должно быть предусмотрено в составе документации по планировке территории. При этом документацией по планировке территории должна быть предусмотрена одновременная реализация очередей строительства стоянки автомобилей и строительства (реконструкции) многоквартирных домов, для жителей которых </w:t>
      </w: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обеспечивается потребность в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парковочных местах постоянного хранения;</w:t>
      </w:r>
    </w:p>
    <w:p w:rsidR="00F75393" w:rsidRPr="00F75393" w:rsidRDefault="00F75393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пешеходные пути от многоквартирного дома до стоянок не должны пересекать железнодорожные пути;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б) 50% парковочных мест постоянного хранения размещается с использованием подземного пространства в границах земельных участков многоквартирных домов и 50% - в пределах пешеходной доступности, принятой по существующим общедоступным пешеходным связям и не превышающей 800 м, на земельном участке, принадлежащем застройщику, с разрешенным использованием для целей хранения автотранспорта при условии реализации концепции "двор без машин";</w:t>
      </w:r>
      <w:proofErr w:type="gramEnd"/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в) 100% парковочных мест постоянного хранения размещается в границах жилого квартала, в котором расположены земельные участки многоквартирных домов, при соблюдении следующих условий: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строительство застройщиком стоянки автомобилей в виде здания или сооружения, которая обеспечивает полную потребность в парковочных местах постоянного хранения жителей таких многоквартирных домов;</w:t>
      </w:r>
      <w:proofErr w:type="gramEnd"/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 размещение стоянки автомобилей должно быть предусмотрено в составе документации по планировке территории. При этом реализация такого здания или сооружения должна быть выполнена одновременно со строительством (реконструкцией) жилых домов, для жителей которых </w:t>
      </w: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обеспечивается потребность в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парковочных местах постоянного хранения. 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этом не менее 5% необходимых по расчету парковочных мест постоянного хранения автотранспортных средств жителей многоквартирных домов должно быть размещено на плоскостных стоянках открытого типа (открытых площадках) в границах земельного участка, предоставленного в установленном порядке под строительство (реконструкцию) объекта капитального строительства и планируемого в дальнейшем к передаче правообладателям такого объекта для его эксплуатации, за исключением случая, когда более 75% парковочных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мест постоянного хранения размещается с использованием подземного пространства. При этом из них 10 % (но не менее одного места) должно быть выделено для специализированных мест для автотранспорта инвалидов на кресле-коляске. 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Размещение объектов должно осуществляться в строгом соответствии с очередностью, установленной в документации по планировке территории. </w:t>
      </w:r>
    </w:p>
    <w:p w:rsidR="00F75393" w:rsidRPr="00F75393" w:rsidRDefault="00F75393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строительстве и реконструкции многоквартирных домов допускается размещение мест постоянного хранения автомобилей на муниципальных стоянках, созданных органом местного самоуправления, расположенных в пешеходной доступности (без пересечения </w:t>
      </w: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железнодорожных путей), принятой по существующим общедоступным пешеходным связям и не превышающей 800 м, при условии получения застройщиком согласования такого размещения от органа местного самоуправления. </w:t>
      </w:r>
    </w:p>
    <w:p w:rsidR="0081372A" w:rsidRDefault="0081372A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посетителей встроенных, пристроенных и встроенно-пристроенных помещений многоквартирных жилых домов предусматриваются места временного хранения транспортных средств, количество которых определяется в соответствии с нормативами, приведенными в табл.15 настоящих Нормативов, с учетом требований </w:t>
      </w:r>
      <w:hyperlink r:id="rId11" w:history="1">
        <w:r w:rsidRPr="007F32F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15.1 настоящих Нормативов.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Двойное использование парковочных мест в дневное время для сотрудников и посетителей встроенных, пристроенных и встроенно-пристроенных помещений многоквартирных домов, в ночное время для жителей домов (парковочные места постоянного хранения) - допускается исключительно на плоскостных стоянках открытого типа (открытых площадках). 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многоквартирных домов, являющихся проблемными объектами на территории Шатковского муниципального округа Нижегородской области, при отсутствии возможности обеспечения парковочными местами в полном объеме, с учетом сложившейся застройки и существующего землепользования, количество парковочных мест должно быть обеспечено в размере не менее 15 % от требуемого количества парковочных мест, предусмотренных настоящими Нормативами для жилой многоквартирной застройки, и согласовано протокольным решением регионального штаба по вопросам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реализации градостроительной политики на территории Нижегородской области.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15.3.1. В случае застройки индивидуальными и блокированными жилыми домами парковочные места хранения и парковки легкового автотранспорта жителей размещаются в границах придомового земельного участка из расчета: для индивидуальной жилой застройки - не менее одного парковочного места на дом, для блокированной жилой застройки - не менее одного парковочного места на блок.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15.4. Особенности расчета и размещения парковочных мест при строительстве и реконструкции нежилой застройки.</w:t>
      </w:r>
    </w:p>
    <w:p w:rsid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нового строительства и реконструкции объектов нежилого назначения, а также при изменении функционального назначения объектов требуемое количество парковочных мест временного хранения (для работающих и посетителей) определяется расчетом в соответствии с нормат</w:t>
      </w:r>
      <w:r w:rsidR="0081372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ивами, приведенными в таблице 15</w:t>
      </w: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настоящих Нормативов, размещается с учетом требований пункта 15.1 настоящих Нормативов.</w:t>
      </w:r>
    </w:p>
    <w:p w:rsidR="00F75393" w:rsidRPr="00F75393" w:rsidRDefault="00F75393" w:rsidP="0081372A">
      <w:pPr>
        <w:spacing w:before="100" w:beforeAutospacing="1" w:after="0" w:line="360" w:lineRule="auto"/>
        <w:ind w:firstLine="53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13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аблица 15</w:t>
      </w:r>
    </w:p>
    <w:tbl>
      <w:tblPr>
        <w:tblW w:w="9611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3583"/>
        <w:gridCol w:w="1848"/>
        <w:gridCol w:w="546"/>
        <w:gridCol w:w="2163"/>
        <w:gridCol w:w="34"/>
        <w:gridCol w:w="175"/>
        <w:gridCol w:w="155"/>
        <w:gridCol w:w="245"/>
        <w:gridCol w:w="125"/>
        <w:gridCol w:w="83"/>
        <w:gridCol w:w="16"/>
      </w:tblGrid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посещения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Расчетные единицы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Предусматривается 1 парковочное место на следующее количество расчетных единиц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D33F6" w:rsidRPr="00F75393" w:rsidTr="008D33F6">
        <w:trPr>
          <w:gridAfter w:val="1"/>
          <w:wAfter w:w="1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425845" w:rsidP="0081372A">
            <w:pPr>
              <w:spacing w:before="100" w:beforeAutospacing="1" w:after="198"/>
              <w:ind w:right="-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F75393"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административно-делового назначения </w:t>
            </w:r>
            <w:r w:rsidR="0081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70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капитального строительства, предназначенные для размещения органов государственной власти, органов местного самоуправления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200-220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административно- управленческой деятельности, здания и помещения общественных организаций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100-120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Коммерческо-деловые центры, офисные здания и помещения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50-60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 и банковские учреждения: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 операционными залами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30-35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без операционных залов 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55-60 </w:t>
            </w:r>
          </w:p>
        </w:tc>
      </w:tr>
      <w:tr w:rsidR="00F75393" w:rsidRPr="00F75393" w:rsidTr="008D33F6">
        <w:trPr>
          <w:gridAfter w:val="2"/>
          <w:wAfter w:w="105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науки и учебно-образовательного назначения </w:t>
            </w:r>
          </w:p>
        </w:tc>
        <w:tc>
          <w:tcPr>
            <w:tcW w:w="782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Научно-исследовательские и проектные институты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140-170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высшего образования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преподаватели, сотрудники, студенты, занятые в одну смену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препод. и сотруд. + 1 парковочное место на 10 студентов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Профессиональные образовательные организации, колледжи, специальные и частные школы, школы искусств и музыкальные школы городского значения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преподаватели, занятые в одну смену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Центры обучения, самодеятельного творчества, клубы по интересам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20-25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организации (школы, гимназии, лицеи и др.)*</w:t>
            </w:r>
          </w:p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*Стоянка автомобилей для персонала (преподавателей) проектируется за границами участка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*Стоянка автомобилей для персонала проектируется за границами участка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F75393" w:rsidRPr="00F75393" w:rsidTr="008D33F6">
        <w:trPr>
          <w:gridAfter w:val="2"/>
          <w:wAfter w:w="105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промышленно-производственного назначения </w:t>
            </w:r>
          </w:p>
        </w:tc>
        <w:tc>
          <w:tcPr>
            <w:tcW w:w="782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8D33F6">
            <w:pPr>
              <w:spacing w:before="100" w:beforeAutospacing="1" w:after="198"/>
              <w:ind w:left="109" w:hanging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Производственные здания и коммунально-складские объекты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работающие</w:t>
            </w:r>
            <w:proofErr w:type="gramEnd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двух смежных сменах, чел.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 </w:t>
            </w:r>
          </w:p>
        </w:tc>
      </w:tr>
      <w:tr w:rsidR="00F75393" w:rsidRPr="00F75393" w:rsidTr="008D33F6">
        <w:trPr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торгово-бытового и коммунального назначения </w:t>
            </w:r>
          </w:p>
        </w:tc>
        <w:tc>
          <w:tcPr>
            <w:tcW w:w="887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 и т.п.)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20-30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Магазины шаговой доступности продовольственной и непродовольственной групп, размещающиеся в первых этажах жилых домов или в жилой группе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40-50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Специализированные объекты торгового назначения с широким ассортиментом товаров продовольственной и непродовольственной групп (отдельно стоящие сетевые супермаркеты)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40-50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Торговые центры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70-80 </w:t>
            </w:r>
          </w:p>
        </w:tc>
      </w:tr>
      <w:tr w:rsidR="00F75393" w:rsidRPr="00F75393" w:rsidTr="008D33F6">
        <w:trPr>
          <w:gridAfter w:val="3"/>
          <w:wAfter w:w="238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Рынки постоянные </w:t>
            </w:r>
          </w:p>
        </w:tc>
        <w:tc>
          <w:tcPr>
            <w:tcW w:w="649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8D33F6">
            <w:pPr>
              <w:spacing w:before="100" w:beforeAutospacing="1" w:after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и непродовольственные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30-40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8D33F6">
            <w:pPr>
              <w:spacing w:before="100" w:beforeAutospacing="1" w:after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Продовольственные и сельскохозяйственные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40-50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64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Рестораны, кафе городского </w:t>
            </w: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значения </w:t>
            </w:r>
          </w:p>
        </w:tc>
        <w:tc>
          <w:tcPr>
            <w:tcW w:w="1862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посадочные </w:t>
            </w: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места </w:t>
            </w:r>
          </w:p>
        </w:tc>
        <w:tc>
          <w:tcPr>
            <w:tcW w:w="25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4-5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коммунально-бытового обслуживания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Ателье, фотосалоны городского значения, салоны-парикмахерские, салоны красоты, солярии, салоны моды, свадебные салоны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Салоны ритуальных услуг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20-25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Химчистки, прачечные, ремонтные мастерские, специализированные центры по обслуживанию сложной бытовой техники и др.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рабочее место приемщика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Гостиницы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Высшей категории (4-5*)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Кладбища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3-5, но не менее 50 парковочных мест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Крематории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5-6, но менее 10 парковочных мест на 1 ритуальный зал </w:t>
            </w:r>
          </w:p>
        </w:tc>
      </w:tr>
      <w:tr w:rsidR="00F75393" w:rsidRPr="00F75393" w:rsidTr="008D33F6">
        <w:trPr>
          <w:gridAfter w:val="5"/>
          <w:wAfter w:w="665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культуры и досуга </w:t>
            </w:r>
          </w:p>
        </w:tc>
        <w:tc>
          <w:tcPr>
            <w:tcW w:w="222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Выставочно-музейные комплексы, музеи-заповедники, музеи, галереи, выставочные залы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Театры, концертные залы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зрительское место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15-20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Киноцентры и кинотеатры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зрительское место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15-25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Городские библиотеки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пос. место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</w:t>
            </w:r>
            <w:proofErr w:type="gramStart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религиозных</w:t>
            </w:r>
            <w:proofErr w:type="gramEnd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конфессий (церкви, костелы, мечети, синагоги и др.)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8-10, но не менее 10 парковочных мест на объект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Развлекательные центры, дискотеки, ночные клубы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4-7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Бильярдные, боулинг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</w:p>
        </w:tc>
      </w:tr>
      <w:tr w:rsidR="00F75393" w:rsidRPr="00F75393" w:rsidTr="008D33F6">
        <w:trPr>
          <w:gridAfter w:val="3"/>
          <w:wAfter w:w="238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Лечебные учреждения </w:t>
            </w:r>
          </w:p>
        </w:tc>
        <w:tc>
          <w:tcPr>
            <w:tcW w:w="649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Поликлиники, в том числе амбулатории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посещения в смену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30-50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Многопрофильные консультационн</w:t>
            </w:r>
            <w:proofErr w:type="gramStart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диагностические центры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посещения в смену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30-40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Больницы, профилактории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койко-место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Специализированные клиники, реабилитационные центры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койко-место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Интернаты и пансионаты для престарелых и инвалидов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койко-место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20-30 </w:t>
            </w:r>
          </w:p>
        </w:tc>
      </w:tr>
      <w:tr w:rsidR="00F75393" w:rsidRPr="00F75393" w:rsidTr="008D33F6">
        <w:trPr>
          <w:gridAfter w:val="4"/>
          <w:wAfter w:w="500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Спортивно-оздоровительные объекты </w:t>
            </w:r>
          </w:p>
        </w:tc>
        <w:tc>
          <w:tcPr>
            <w:tcW w:w="387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комплексы и стадионы с трибунами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 на трибунах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25-30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Оздоровительные комплексы (</w:t>
            </w:r>
            <w:proofErr w:type="gramStart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фитнес-клубы</w:t>
            </w:r>
            <w:proofErr w:type="gramEnd"/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ФОКи, спортивные и тренажерные залы)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кв. м общей площади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25-35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Аквапарки, бассейны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единоврем. посетители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</w:t>
            </w:r>
          </w:p>
        </w:tc>
      </w:tr>
      <w:tr w:rsidR="00F75393" w:rsidRPr="00F75393" w:rsidTr="008D33F6">
        <w:trPr>
          <w:gridAfter w:val="6"/>
          <w:wAfter w:w="852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 транспортного обслуживания </w:t>
            </w:r>
          </w:p>
        </w:tc>
        <w:tc>
          <w:tcPr>
            <w:tcW w:w="3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Железнодорожные вокзалы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пассажиры дальнего следования в час пик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8-10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8.2.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Автовокзалы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пассажиры в час пик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10-15 </w:t>
            </w:r>
          </w:p>
        </w:tc>
      </w:tr>
      <w:tr w:rsidR="00F75393" w:rsidRPr="00F75393" w:rsidTr="008D33F6">
        <w:trPr>
          <w:gridAfter w:val="7"/>
          <w:wAfter w:w="887" w:type="dxa"/>
          <w:tblCellSpacing w:w="0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Аэровокзалы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пассажиры в час пик </w:t>
            </w:r>
          </w:p>
        </w:tc>
        <w:tc>
          <w:tcPr>
            <w:tcW w:w="2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F75393" w:rsidRPr="00F75393" w:rsidRDefault="00F75393" w:rsidP="00F75393">
            <w:pPr>
              <w:spacing w:before="100" w:beforeAutospacing="1" w:after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6-8 </w:t>
            </w:r>
          </w:p>
        </w:tc>
      </w:tr>
    </w:tbl>
    <w:p w:rsidR="00F75393" w:rsidRPr="008D33F6" w:rsidRDefault="00F75393" w:rsidP="00F75393">
      <w:pPr>
        <w:spacing w:before="100" w:beforeAutospacing="1" w:after="0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Примечания:</w:t>
      </w:r>
    </w:p>
    <w:p w:rsidR="00F75393" w:rsidRPr="008D33F6" w:rsidRDefault="00F75393" w:rsidP="00F75393">
      <w:pPr>
        <w:spacing w:after="0" w:line="102" w:lineRule="atLeast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Нормативные показатели включают требуемое количество парковочных мест для работающих и посетителей, без учета парковочных мест для автомобилей, обслуживающих технологические нужды объекта (стоянка автомобиля, связанная с погрузкой, выгрузкой грузов, обеспечивающих функционирование объекта, и др.), а также для туристических автобусов.</w:t>
      </w:r>
    </w:p>
    <w:p w:rsidR="00F75393" w:rsidRPr="008D33F6" w:rsidRDefault="00F75393" w:rsidP="00F75393">
      <w:pPr>
        <w:spacing w:after="0" w:line="102" w:lineRule="atLeast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Общая площадь объекта включает сумму площадей всех этажей здания, сооружения (включая технический, мансардный, цокольный, подвальный и иные), а также эксплуатируемой кровли, определяемую в пределах внутренних поверхностей наружных стен, с учетом особенностей, предусмотренных СП 118.13330.2022. Свод правил. Общественные здания и сооружения. СНиП 31-06-2009, утвержденных приказом Министерства строительства и жилищно-коммунального хозяйства Российской Федерации от 19 мая 2022 г. № 389/</w:t>
      </w:r>
      <w:proofErr w:type="gramStart"/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gramEnd"/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".</w:t>
      </w:r>
    </w:p>
    <w:p w:rsidR="00F75393" w:rsidRPr="008D33F6" w:rsidRDefault="00F75393" w:rsidP="00F75393">
      <w:pPr>
        <w:spacing w:after="0" w:line="102" w:lineRule="atLeast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3. Для зданий с помещениями различного функционального назначения требуемое количество парковочных мест определяется раздельно для каждого вида помещений, а затем суммируется.</w:t>
      </w:r>
    </w:p>
    <w:p w:rsidR="00F75393" w:rsidRPr="008D33F6" w:rsidRDefault="00F75393" w:rsidP="00F75393">
      <w:pPr>
        <w:spacing w:after="0" w:line="102" w:lineRule="atLeast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 Расчет парковочных мест для объектов религиозных конфессий производится для максимального по числу посетителей дня недели, но без учета дней основных (главных) религиозных праздников.</w:t>
      </w:r>
    </w:p>
    <w:p w:rsidR="00F75393" w:rsidRPr="008D33F6" w:rsidRDefault="00F75393" w:rsidP="00F75393">
      <w:pPr>
        <w:spacing w:after="0" w:line="102" w:lineRule="atLeast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 Расчет парковочных мест для посетителей кладбищ проводится для выходных дней весенне-летнего периода без учета пиковой потребности в дни религиозных праздников, связанных с массовым посещением мест захоронений близких родственников (день поминовения родителей и т.п.).</w:t>
      </w:r>
    </w:p>
    <w:p w:rsidR="008D33F6" w:rsidRPr="008D33F6" w:rsidRDefault="008D33F6" w:rsidP="008D3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D3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8D33F6">
        <w:rPr>
          <w:rFonts w:ascii="Times New Roman" w:hAnsi="Times New Roman" w:cs="Times New Roman"/>
          <w:sz w:val="24"/>
          <w:szCs w:val="24"/>
        </w:rPr>
        <w:t xml:space="preserve"> При выполнении расчета парковочных мест в соответствии с табл.15 настоящих Нормативов для каждого объекта необходимо предусматривать не менее одного парковочного места для паркования специальных и специализированных транспортных средств (пожарных автомобилей и автомобилей скорой медицинской помощи, иных специальных и специализированных транспортных средств).</w:t>
      </w:r>
    </w:p>
    <w:p w:rsidR="00F75393" w:rsidRPr="00F75393" w:rsidRDefault="00F75393" w:rsidP="00F75393">
      <w:pPr>
        <w:spacing w:before="100" w:beforeAutospacing="1" w:after="0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5393" w:rsidRPr="00F75393" w:rsidRDefault="00F75393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случае выполнения реконструкции объекта капитального строительства при отсутствии возможности размещения парковочных мест временного хранения в полном объеме, количество которых определяется расчетом в соответствии с таблицей 14, в пределах земельного участка, предоставленного в установленном порядке под строительство объекта капитального строительства, допускается размещать такие парковочные места вне пределов участка в пешеходной доступности, принятой по существующим общедоступным пешеходным связям и не превышающей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1200 метров.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15.4.1. В условиях реконструкции объекта капитального строительства при расчете потребности в парковочных местах допускается применение следующих понижающих коэффициентов для нежилых зданий: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реконструкции указанных объектов на магистральных улицах с движением общественного транспорта или рядом со станцией метро (на расстоянии не более 300 м):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коэффициент 0,7 - при наличии метро и трех видов наземного транспорта (автобус, трамвай, троллейбус);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 коэффициент 0,75 - при наличии метро и одного из видов наземного транспорта;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коэффициент 0,8 - при наличии метро;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коэффициент 0,85 - при наличии трех видов наземного общественного транспорта;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коэффициент 0,9 - при наличии двух видов наземного общественного транспорта.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15.4.2. При строительстве или реконструкции объектов капитального строительства, предназначенных для размещения дошкольных образовательных организаций и общеобразовательных организаций, необходимо предусматривать парковочные карманы для кратковременной парковки автотранспортных средств (родители детей, посещающих учреждение).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 территории вновь строящихся общеобразовательных организаций необходимо предусматривать парковочные места для транспортных средств, предназначенных для перевозки обучающихся (в том числе обучающихся с ограниченными возможностями здоровья).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размещении на территории вновь строящихся общеобразовательных организаций парковочных мест для транспортных средств, предназначенных для перевозки обучающихся, следует предусматривать 40 кв. м территории на один школьный автобус.</w:t>
      </w:r>
    </w:p>
    <w:p w:rsid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условиях реконструкции парковочные места для транспортных средств, предназначенных для перевозки обучающихся, предусматриваются в пределах пятнадцатиминутной транспортной доступности от территории общеобразовательной организации, при этом на территории общеобразовательной организации или в непосредственной близости от входа на ее территорию следует располагать площадки посадки-высадки обучающихся из транспортных средств, предназначенных для их перевозки.</w:t>
      </w:r>
    </w:p>
    <w:p w:rsidR="008D33F6" w:rsidRDefault="008D33F6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помещений общественного назначения, встроенных в жилые здания, машино-места для паркования автомобилей работников и посетителей этих помещений допускается располагать в подземных стоянках автомобилей жилых зданий при условии соблюдения </w:t>
      </w:r>
      <w:hyperlink r:id="rId12" w:history="1">
        <w:r w:rsidRPr="00B731A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и следующих требований:</w:t>
      </w:r>
    </w:p>
    <w:p w:rsidR="008D33F6" w:rsidRDefault="008D33F6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исключение двойного использования парковочных мест;</w:t>
      </w:r>
    </w:p>
    <w:p w:rsidR="008D33F6" w:rsidRDefault="008D33F6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беспрепятственного выезда транспортных средств из зоны стоянки;</w:t>
      </w:r>
    </w:p>
    <w:p w:rsidR="008D33F6" w:rsidRDefault="008D33F6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 системой виде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фотофиксации.</w:t>
      </w:r>
    </w:p>
    <w:p w:rsidR="00401E49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15.5. Особенности расчета и размещения парковочных мест для легковых автомобилей, управляемых инвалидами.</w:t>
      </w:r>
    </w:p>
    <w:p w:rsidR="00401E49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Места для хранения (парковки) легковых автомобилей, управляемых инвалидами, и транспортных средств, перевозящих таких инвалидов и (или) детей-инвалидов, при строительстве и реконструкции объектов капитального строительства предусматриваются и размещаются в соответствии с требованиями Федерального закона от 24 ноября 1995 г. № 181-ФЗ "О социальной защите инвалидов в Российской Федерации" и СП 59.13330.2020. Свод правил. Доступность зданий и сооружений для маломобильных групп населения. СНиП 35-01-2001, утвержденного приказом Министерства строительства и жилищно-коммунального хозяйства Российской Федерации от 30 декабря 2020 г. № 904/пр.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Места для стоянки автомобилей, управляемых инвалидами или перевозящих инвалидов, размещаются вблизи входа в предприятие, организацию или учреждение, доступного для инвалидов, но не далее 50 м, от входа в жилое здание - не далее 100 м; при реконструкции, сложной конфигурации земельного участка допускается увеличивать расстояние от зданий до стоянок (парковок), но не более 150 м.</w:t>
      </w:r>
      <w:proofErr w:type="gramEnd"/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средств, перевозящих таких инвалидов и (или) детей-инвалидов. На граждан из числа инвалидов III группы данная норма распространяется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F75393" w:rsidRPr="00F75393" w:rsidRDefault="00F75393" w:rsidP="00425845">
      <w:pPr>
        <w:spacing w:before="100" w:beforeAutospacing="1"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числе 10% мест автотранспортных средств инвалидов, расположенных на автостоянке около или в объеме жилых, общественных (в том числе объектов физкультурно-спортивного назначения, культуры и др.) и производственных зданий, зданий инженерной и транспортной инфраструктуры, а также у зон рекреации, выделяются специализированные расширенные парковочные места для транспортных средств инвалидов, передвигающихся на кресле-коляске, количество которых определяется расчетом при числе мест:</w:t>
      </w:r>
      <w:proofErr w:type="gramEnd"/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до 100 включительно - 5%, но не менее одного места;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от 101 до 200 - 5 мест и дополнительно 3% от количества мест свыше 100;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от 201 до 500 - 8 мест и дополнительно 2% от количества мест свыше 200;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- 501 и более - 14 мест и дополнительно 1% от количества мест свыше 500.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Расчет мест для постоянного хранения транспортных средств, управляемых инвалидами или перевозящих инвалидов и (или) детей-инвалидов, проживающих в многоквартирных домах, выполняется в соответствии с заданием на проектирование. 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Двойное использование мест хранения и парковки легкового транспорта инвалидов недопустимо.</w:t>
      </w:r>
    </w:p>
    <w:p w:rsidR="00F75393" w:rsidRP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15.6. Нормы расчета парковочных мест, установленные в пункте 15.3 и таблице 14 настоящих Нормативов, применяются на всей территории Шатковского муниципального округа Нижегородской области.</w:t>
      </w:r>
    </w:p>
    <w:p w:rsidR="00F75393" w:rsidRDefault="00F75393" w:rsidP="00425845">
      <w:pPr>
        <w:spacing w:after="0"/>
        <w:ind w:firstLine="37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7539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утверждении местных нормативов градостроительного проектирования и с учетом уровня автомобилизации для больших и средних городов допускается сокращение нормы расчета парковочных мест, приведенных в пункте 15.3 и таблице 14 настоящих Нормативов, на 10%. </w:t>
      </w:r>
    </w:p>
    <w:p w:rsidR="00401E49" w:rsidRPr="00A63856" w:rsidRDefault="00401E49" w:rsidP="0042584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_RefHeading__9103_1357057103"/>
      <w:bookmarkEnd w:id="2"/>
      <w:r w:rsidRPr="00A63856">
        <w:rPr>
          <w:rFonts w:ascii="Times New Roman" w:hAnsi="Times New Roman" w:cs="Times New Roman"/>
          <w:b/>
          <w:bCs/>
          <w:sz w:val="24"/>
          <w:szCs w:val="24"/>
        </w:rPr>
        <w:t>Минимально допустимое количество парковочных мест</w:t>
      </w:r>
    </w:p>
    <w:p w:rsidR="00401E49" w:rsidRPr="00A63856" w:rsidRDefault="00401E49" w:rsidP="004258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856">
        <w:rPr>
          <w:rFonts w:ascii="Times New Roman" w:hAnsi="Times New Roman" w:cs="Times New Roman"/>
          <w:b/>
          <w:bCs/>
          <w:sz w:val="24"/>
          <w:szCs w:val="24"/>
        </w:rPr>
        <w:t>для парковки легковых автомобилей на стоянках автомобилей,</w:t>
      </w:r>
    </w:p>
    <w:p w:rsidR="00401E49" w:rsidRPr="00A63856" w:rsidRDefault="00401E49" w:rsidP="004258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856">
        <w:rPr>
          <w:rFonts w:ascii="Times New Roman" w:hAnsi="Times New Roman" w:cs="Times New Roman"/>
          <w:b/>
          <w:bCs/>
          <w:sz w:val="24"/>
          <w:szCs w:val="24"/>
        </w:rPr>
        <w:t>размещаемых у границ лесопарков, зон отдыха и курортных зон</w:t>
      </w:r>
    </w:p>
    <w:p w:rsidR="00401E49" w:rsidRPr="00A63856" w:rsidRDefault="00401E49" w:rsidP="0042584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E49" w:rsidRPr="00401E49" w:rsidRDefault="00401E49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>Требуемое количество парковочных мест для парковки легковых автомобилей посетителей рекреационных территорий, объектов отдыха и работающих на их объектах определяется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таблицей 15.1</w:t>
      </w:r>
    </w:p>
    <w:p w:rsidR="00401E49" w:rsidRPr="00401E49" w:rsidRDefault="00401E49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>Размещать стоянки следует за пределами рекреационных территорий, на расстоянии не более 400 м от входа.</w:t>
      </w:r>
    </w:p>
    <w:p w:rsidR="00401E49" w:rsidRPr="00401E49" w:rsidRDefault="00401E49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>Разрешается размещение парковочных мест в подземных гаражно-стояночных объектах, устраиваемых под хозяйственной зоной, с организацией въездов с прилегающей уличной сети.</w:t>
      </w:r>
    </w:p>
    <w:p w:rsidR="00401E49" w:rsidRPr="00401E49" w:rsidRDefault="00401E49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lastRenderedPageBreak/>
        <w:t>При наличии на рекреационных территориях объектов, функциональное назначение которых не противоречит функции рекреационной территории (базы отдыха, туристские и рыболовные базы и пр.), автостоянки устраиваются за пределами рекреационной территории. Подвоз отдыхающих (при необходимости) осуществляется специальным малогабаритным транспортом.</w:t>
      </w:r>
    </w:p>
    <w:p w:rsidR="00401E49" w:rsidRPr="00401E49" w:rsidRDefault="00401E49" w:rsidP="0042584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15.1</w:t>
      </w:r>
    </w:p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4"/>
      <w:bookmarkEnd w:id="3"/>
      <w:r w:rsidRPr="00401E49">
        <w:rPr>
          <w:rFonts w:ascii="Times New Roman" w:hAnsi="Times New Roman" w:cs="Times New Roman"/>
          <w:sz w:val="24"/>
          <w:szCs w:val="24"/>
        </w:rPr>
        <w:t>Требуемое количество парковочных мест</w:t>
      </w:r>
    </w:p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>для рекреационных территорий и объектов отдыха</w:t>
      </w:r>
    </w:p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0"/>
        <w:gridCol w:w="2551"/>
        <w:gridCol w:w="2381"/>
      </w:tblGrid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Рекреационные территории и объекты отдыха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Количество расчетных единиц, для которых предусматривается 1 машино-место</w:t>
            </w:r>
          </w:p>
        </w:tc>
      </w:tr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Пляжи и парки в зонах отдыха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Единовременных посетителей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Лесопарки и заповедники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Единовременных посетителей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Единовременных посетителей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Береговые базы маломерного флота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Единовременных посетителей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Дома отдыха, санатории, санатории-профилактории, базы отдыха предприятий и туристические базы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Отдыхающих и обслуживающего персонала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1E49" w:rsidRPr="00401E4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питания, торговли и коммунально-бытового обслуживания в зонах отдыха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Мест в залах или единовременных посетителей и персонала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49" w:rsidRPr="00401E49" w:rsidRDefault="00401E49" w:rsidP="0040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1E49" w:rsidRPr="00401E49" w:rsidRDefault="00401E49" w:rsidP="00401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>Примечание.</w:t>
      </w:r>
    </w:p>
    <w:p w:rsidR="00401E49" w:rsidRDefault="00401E49" w:rsidP="00401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1E49">
        <w:rPr>
          <w:rFonts w:ascii="Times New Roman" w:hAnsi="Times New Roman" w:cs="Times New Roman"/>
          <w:sz w:val="24"/>
          <w:szCs w:val="24"/>
        </w:rPr>
        <w:t>Нормативные показатели включают требуемое количество парковочных мест для работающих и посетителей.</w:t>
      </w:r>
    </w:p>
    <w:p w:rsidR="00BE1CC6" w:rsidRPr="00401E49" w:rsidRDefault="00BE1CC6" w:rsidP="00401E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5393" w:rsidRPr="00B731AB" w:rsidRDefault="000F05BC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45B6E" w:rsidRPr="00B731AB">
        <w:rPr>
          <w:rFonts w:ascii="Times New Roman" w:hAnsi="Times New Roman" w:cs="Times New Roman"/>
          <w:sz w:val="24"/>
          <w:szCs w:val="24"/>
        </w:rPr>
        <w:t>В р</w:t>
      </w:r>
      <w:r w:rsidRPr="00B731AB">
        <w:rPr>
          <w:rFonts w:ascii="Times New Roman" w:hAnsi="Times New Roman" w:cs="Times New Roman"/>
          <w:sz w:val="24"/>
          <w:szCs w:val="24"/>
        </w:rPr>
        <w:t>аздел</w:t>
      </w:r>
      <w:r w:rsidR="00545B6E" w:rsidRPr="00B731AB">
        <w:rPr>
          <w:rFonts w:ascii="Times New Roman" w:hAnsi="Times New Roman" w:cs="Times New Roman"/>
          <w:sz w:val="24"/>
          <w:szCs w:val="24"/>
        </w:rPr>
        <w:t xml:space="preserve">е VII </w:t>
      </w:r>
      <w:r w:rsidR="006A73C4" w:rsidRPr="00B731AB">
        <w:rPr>
          <w:rFonts w:ascii="Times New Roman" w:hAnsi="Times New Roman" w:cs="Times New Roman"/>
          <w:sz w:val="24"/>
          <w:szCs w:val="24"/>
        </w:rPr>
        <w:t xml:space="preserve"> главы 19 таблицу 20 </w:t>
      </w:r>
      <w:r w:rsidR="008A6CD4" w:rsidRPr="00B731AB">
        <w:rPr>
          <w:rFonts w:ascii="Times New Roman" w:hAnsi="Times New Roman" w:cs="Times New Roman"/>
          <w:sz w:val="27"/>
          <w:szCs w:val="27"/>
        </w:rPr>
        <w:t>«</w:t>
      </w:r>
      <w:r w:rsidRPr="00B731AB">
        <w:rPr>
          <w:rFonts w:ascii="Times New Roman" w:hAnsi="Times New Roman" w:cs="Times New Roman"/>
          <w:sz w:val="27"/>
          <w:szCs w:val="27"/>
        </w:rPr>
        <w:t>Расчетные показатели минимально допустимого уровня обеспеченности объектами физической культуры и массового спорта местно</w:t>
      </w:r>
      <w:r w:rsidR="006A73C4" w:rsidRPr="00B731AB">
        <w:rPr>
          <w:rFonts w:ascii="Times New Roman" w:hAnsi="Times New Roman" w:cs="Times New Roman"/>
          <w:sz w:val="27"/>
          <w:szCs w:val="27"/>
        </w:rPr>
        <w:t xml:space="preserve">го значения и их территориальная </w:t>
      </w:r>
      <w:r w:rsidRPr="00B731AB">
        <w:rPr>
          <w:rFonts w:ascii="Times New Roman" w:hAnsi="Times New Roman" w:cs="Times New Roman"/>
          <w:sz w:val="27"/>
          <w:szCs w:val="27"/>
        </w:rPr>
        <w:t xml:space="preserve">  доступность </w:t>
      </w:r>
      <w:r w:rsidR="006A73C4" w:rsidRPr="00B731AB">
        <w:rPr>
          <w:rFonts w:ascii="Times New Roman" w:hAnsi="Times New Roman" w:cs="Times New Roman"/>
          <w:sz w:val="27"/>
          <w:szCs w:val="27"/>
        </w:rPr>
        <w:t>изложить в следующей редакции:</w:t>
      </w:r>
      <w:r w:rsidRPr="00B731A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25845" w:rsidRDefault="00425845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845" w:rsidRDefault="00425845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845" w:rsidRDefault="00425845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845" w:rsidRDefault="00425845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845" w:rsidRDefault="00425845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845" w:rsidRDefault="00425845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E1CC6" w:rsidRPr="00B731AB" w:rsidRDefault="006A73C4" w:rsidP="00BE1CC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731AB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BE1CC6" w:rsidRPr="00B731AB">
        <w:rPr>
          <w:rFonts w:ascii="Times New Roman" w:hAnsi="Times New Roman" w:cs="Times New Roman"/>
          <w:sz w:val="24"/>
          <w:szCs w:val="24"/>
        </w:rPr>
        <w:t>Таблица</w:t>
      </w:r>
      <w:r w:rsidR="000F05BC" w:rsidRPr="00B731AB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BE1CC6" w:rsidRPr="00BE1CC6" w:rsidRDefault="00BE1CC6" w:rsidP="00BE1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1CC6" w:rsidRPr="00BE1CC6" w:rsidRDefault="000F05BC" w:rsidP="00BE1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041"/>
        <w:gridCol w:w="1984"/>
        <w:gridCol w:w="1814"/>
        <w:gridCol w:w="2700"/>
      </w:tblGrid>
      <w:tr w:rsidR="00BE1CC6" w:rsidRPr="00BE1CC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Наименование вида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Тип расчетного показателя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Наименование расчетного показателя, ед. измерения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 расчетных показателей</w:t>
            </w:r>
          </w:p>
        </w:tc>
      </w:tr>
      <w:tr w:rsidR="00BE1CC6" w:rsidRPr="00BE1CC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Стадионы всех видов с трибунами на 1500 мест и более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обеспеченности, количество объектов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1 на 100 тыс. жителей</w:t>
            </w:r>
          </w:p>
        </w:tc>
      </w:tr>
      <w:tr w:rsidR="00BE1CC6" w:rsidRPr="00BE1CC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доступность, </w:t>
            </w: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крупного городского поселения (город более 100 тыс. чел.) - не более 30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малых и средних городов, в том числе поселков городского типа (от 5 тыс. до 100 тыс. чел.), - не более 60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сельских населенных пунктов - не более 1 час 30 мин.</w:t>
            </w:r>
          </w:p>
        </w:tc>
      </w:tr>
      <w:tr w:rsidR="00BE1CC6" w:rsidRPr="00BE1CC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Плоскостные спортивные сооружения, включая хоккейные коробки, баскетбольные, волейбольные, универсальные площадки, поля для мини-футбола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обеспеченности, количество объектов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110 на 100 тыс. жителей</w:t>
            </w:r>
          </w:p>
        </w:tc>
      </w:tr>
      <w:tr w:rsidR="00BE1CC6" w:rsidRPr="00BE1CC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Шаговая доступность, </w:t>
            </w: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до 1000 м</w:t>
            </w:r>
          </w:p>
        </w:tc>
      </w:tr>
      <w:tr w:rsidR="00BE1CC6" w:rsidRPr="00BE1CC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Спортивные залы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обеспеченности, количество объектов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59 на 100 тыс. жителей</w:t>
            </w:r>
          </w:p>
        </w:tc>
      </w:tr>
      <w:tr w:rsidR="00BE1CC6" w:rsidRPr="00BE1CC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показатель максимально допустимого </w:t>
            </w: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территориальной доступности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Транспортная доступность, мин.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крупного городского поселения (город более 100 тыс. чел.) - не более 30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для малых и средних городов, в том числе поселков городского типа (от 5 тыс. до 100 тыс. чел.), а также для сельских населенных пунктов - не более 30 мин.</w:t>
            </w:r>
          </w:p>
        </w:tc>
      </w:tr>
      <w:tr w:rsidR="00BE1CC6" w:rsidRPr="00BE1CC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Крытые плавательные бассейны, а также плавательные дорожки в физкультурно-оздоровительных комплексах и спортивных комплексах, доступных для массового посещения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обеспеченности, количество объектов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5 на 100 тыс. жителей</w:t>
            </w:r>
          </w:p>
        </w:tc>
      </w:tr>
      <w:tr w:rsidR="00BE1CC6" w:rsidRPr="00BE1CC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доступность, </w:t>
            </w: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крупного городского поселения (город более 100 тыс. чел.) - не более 30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малых и средних городов, в том числе поселков городского типа (от 5 тыс. до 100 тыс. чел.), - не более 60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сельских населенных пунктов - не нормируется</w:t>
            </w:r>
          </w:p>
        </w:tc>
      </w:tr>
      <w:tr w:rsidR="00BE1CC6" w:rsidRPr="00BE1CC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Другие объекты, включая крытые спортивные объекты с искусственным льдом для занятий массовым катанием, хоккеем, фигурным катанием, конькобежным спортом, манежи, включая легкоатлетический манеж, конный манеж, футбольный манеж, лыжные базы, включая лыжные трассы, лыжероллеры трассы, биатлонные </w:t>
            </w: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комплексы, сооружения для стрелковых видов спорта и т.д.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Расчетные показатели минимально допустимого уровня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обеспеченности, количество объектов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46 на 100 тыс. жителей</w:t>
            </w:r>
          </w:p>
        </w:tc>
      </w:tr>
      <w:tr w:rsidR="00BE1CC6" w:rsidRPr="00BE1CC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доступность, </w:t>
            </w: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Для крытых спортивных объектов с искусственным льдом: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крупного городского поселения (город более 100 тыс. чел.) - не более 30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малых и средних городов, в том числе поселков городского типа (от 5 тыс. до 100 тыс. чел.), - не более 60 мин.;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сельских населенных пунктов - не более 1 час 30 мин.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Для манежей, лыжных </w:t>
            </w: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трасс, биатлонных комплексов, спортивных баз, центров спортивной подготовки нормативы транспортной доступности не устанавливаются</w:t>
            </w:r>
          </w:p>
        </w:tc>
      </w:tr>
      <w:tr w:rsidR="00BE1CC6" w:rsidRPr="00BE1CC6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Объекты городской и рекреационной инфраструктуры, приспособленные для занятий физической культурой и спортом, в том числе универсальные спортивные и игровые площадки, дистанции, велодорожки, споты (плаза начального уровня), площадки с тренажерами, сезонные катки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обеспеченности, количество объектов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227 на 100 тыс. жителей</w:t>
            </w:r>
          </w:p>
        </w:tc>
      </w:tr>
      <w:tr w:rsidR="00BE1CC6" w:rsidRPr="00BE1CC6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 xml:space="preserve">Шаговая доступность, </w:t>
            </w:r>
            <w:proofErr w:type="gramStart"/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крупного городского поселения (город более 100 тыс. чел.) - до 1000 м;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малых и средних городов, в том числе поселков городского типа (от 5 тыс. до 100 тыс. чел.), - не нормируется;</w:t>
            </w:r>
          </w:p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- для сельских населенных пунктов - не нормируется</w:t>
            </w:r>
          </w:p>
        </w:tc>
      </w:tr>
      <w:tr w:rsidR="00BE1CC6" w:rsidRPr="00BE1CC6">
        <w:tc>
          <w:tcPr>
            <w:tcW w:w="9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C6" w:rsidRPr="00BE1CC6" w:rsidRDefault="00BE1CC6" w:rsidP="00BE1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CC6">
              <w:rPr>
                <w:rFonts w:ascii="Times New Roman" w:hAnsi="Times New Roman" w:cs="Times New Roman"/>
                <w:sz w:val="24"/>
                <w:szCs w:val="24"/>
              </w:rPr>
              <w:t>Примечание: при определении нормативной потребности в объектах физической культуры и спорта необходимо учитывать усредненный норматив единой пропускной способности 122 человека на 1 тыс. населения</w:t>
            </w:r>
          </w:p>
        </w:tc>
      </w:tr>
    </w:tbl>
    <w:p w:rsidR="00A63856" w:rsidRDefault="000F05BC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»</w:t>
      </w:r>
    </w:p>
    <w:p w:rsidR="00425845" w:rsidRDefault="00425845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53A" w:rsidRDefault="000F05BC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3553A">
        <w:rPr>
          <w:rFonts w:ascii="Times New Roman" w:hAnsi="Times New Roman" w:cs="Times New Roman"/>
          <w:sz w:val="24"/>
          <w:szCs w:val="24"/>
        </w:rPr>
        <w:t xml:space="preserve"> 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="0003553A">
        <w:rPr>
          <w:rFonts w:ascii="Times New Roman" w:hAnsi="Times New Roman" w:cs="Times New Roman"/>
          <w:sz w:val="24"/>
          <w:szCs w:val="24"/>
        </w:rPr>
        <w:t>В разделе XII  главы 33 пункт 33.6 изложить в следующей редакции:</w:t>
      </w:r>
    </w:p>
    <w:p w:rsidR="000E71E2" w:rsidRDefault="000E71E2" w:rsidP="00E268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0178" w:rsidRDefault="0003553A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0178">
        <w:rPr>
          <w:rFonts w:ascii="Times New Roman" w:hAnsi="Times New Roman" w:cs="Times New Roman"/>
          <w:sz w:val="24"/>
          <w:szCs w:val="24"/>
        </w:rPr>
        <w:t xml:space="preserve">В случае осуществления деятельности по комплексному развитию территории расчет коэффициента плотности застройки производится относительно границ территории комплексного развития и относительно границ территории инвестиционного развития при условии наличия границ такой территории в </w:t>
      </w:r>
      <w:proofErr w:type="gramStart"/>
      <w:r w:rsidR="00780178">
        <w:rPr>
          <w:rFonts w:ascii="Times New Roman" w:hAnsi="Times New Roman" w:cs="Times New Roman"/>
          <w:sz w:val="24"/>
          <w:szCs w:val="24"/>
        </w:rPr>
        <w:t>мастер-плане</w:t>
      </w:r>
      <w:proofErr w:type="gramEnd"/>
      <w:r w:rsidR="00780178">
        <w:rPr>
          <w:rFonts w:ascii="Times New Roman" w:hAnsi="Times New Roman" w:cs="Times New Roman"/>
          <w:sz w:val="24"/>
          <w:szCs w:val="24"/>
        </w:rPr>
        <w:t xml:space="preserve"> территории, в отношении которой планируется деятельность по комплексному развитию (далее - мастер-план). </w:t>
      </w:r>
      <w:proofErr w:type="gramStart"/>
      <w:r w:rsidR="00780178">
        <w:rPr>
          <w:rFonts w:ascii="Times New Roman" w:hAnsi="Times New Roman" w:cs="Times New Roman"/>
          <w:sz w:val="24"/>
          <w:szCs w:val="24"/>
        </w:rPr>
        <w:t>При этом максимальное значение коэффициента плотности застройки в границах таких территорий не нормируется при условии, что в мастер-плане, согласованном протокольным решением регионального штаба по вопросам реализации градостроительной политики на территории Нижегородской области, предусмотрены с учетом имеющейся мощности объекты повседневного, периодического и эпизодического обслуживания, в том числе социального назначения, объекты транспортной и инженерной инфраструктуры, которые будут обеспечивать потребность в таких объектах</w:t>
      </w:r>
      <w:proofErr w:type="gramEnd"/>
      <w:r w:rsidR="00780178">
        <w:rPr>
          <w:rFonts w:ascii="Times New Roman" w:hAnsi="Times New Roman" w:cs="Times New Roman"/>
          <w:sz w:val="24"/>
          <w:szCs w:val="24"/>
        </w:rPr>
        <w:t xml:space="preserve"> в границах территории комплексного развития и (или) территории инвестиционного развития, а при отсутствии возможности размещения таких объектов в границах территории </w:t>
      </w:r>
      <w:r w:rsidR="00780178">
        <w:rPr>
          <w:rFonts w:ascii="Times New Roman" w:hAnsi="Times New Roman" w:cs="Times New Roman"/>
          <w:sz w:val="24"/>
          <w:szCs w:val="24"/>
        </w:rPr>
        <w:lastRenderedPageBreak/>
        <w:t>комплексного развития и (или) территории инвестиционного развития определены места для их размещения и необходимая мощность согласно выполненным расчетам.</w:t>
      </w:r>
    </w:p>
    <w:p w:rsidR="00780178" w:rsidRDefault="00780178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размещении объекта капитального строительства без разработки документации по планировке территории расчет коэффициента плотности застройки производится относительно границ земельного участка.</w:t>
      </w:r>
    </w:p>
    <w:p w:rsidR="00780178" w:rsidRPr="008A6CD4" w:rsidRDefault="00780178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CD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A6CD4">
        <w:rPr>
          <w:rFonts w:ascii="Times New Roman" w:hAnsi="Times New Roman" w:cs="Times New Roman"/>
          <w:sz w:val="24"/>
          <w:szCs w:val="24"/>
        </w:rPr>
        <w:t>При размещении объекта капитального строительства в границах земельного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участка,  предоставленного юридическому лицу в аренду без проведения торгов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 xml:space="preserve">в  соответствии  с  </w:t>
      </w:r>
      <w:hyperlink r:id="rId13" w:history="1">
        <w:r w:rsidRPr="00B731A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 4</w:t>
        </w:r>
      </w:hyperlink>
      <w:r w:rsidRPr="00B7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hyperlink r:id="rId14" w:history="1">
        <w:r w:rsidRPr="00B731AB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r w:rsidRPr="00B7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CD4" w:rsidRPr="00B731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B7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hyperlink r:id="rId15" w:history="1">
        <w:r w:rsidRPr="00B731AB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r w:rsidRPr="00B7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или  </w:t>
      </w:r>
      <w:hyperlink r:id="rId16" w:history="1">
        <w:r w:rsidRPr="00B731AB">
          <w:rPr>
            <w:rFonts w:ascii="Times New Roman" w:hAnsi="Times New Roman" w:cs="Times New Roman"/>
            <w:color w:val="000000" w:themeColor="text1"/>
            <w:sz w:val="24"/>
            <w:szCs w:val="24"/>
          </w:rPr>
          <w:t>10  части 4 статьи 8</w:t>
        </w:r>
      </w:hyperlink>
      <w:r w:rsidRPr="00B73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Закон</w:t>
      </w:r>
      <w:r w:rsidRPr="008A6CD4">
        <w:rPr>
          <w:rFonts w:ascii="Times New Roman" w:hAnsi="Times New Roman" w:cs="Times New Roman"/>
          <w:sz w:val="24"/>
          <w:szCs w:val="24"/>
        </w:rPr>
        <w:t>а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Нижегородской  области  от  13  декабря  2005  г.  N 192-З "О регулировании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земельных  отношений  в  Нижегородской  области",  допускается  производить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расчет   коэффициента   плотности   застройки  относительно  границ  такого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земельного  участка.</w:t>
      </w:r>
      <w:proofErr w:type="gramEnd"/>
      <w:r w:rsidRPr="008A6CD4">
        <w:rPr>
          <w:rFonts w:ascii="Times New Roman" w:hAnsi="Times New Roman" w:cs="Times New Roman"/>
          <w:sz w:val="24"/>
          <w:szCs w:val="24"/>
        </w:rPr>
        <w:t xml:space="preserve"> Максимальное значение коэффициента плотности застройки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в    границах    такого    земельного    участка    за   вычетом   участков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общеобразовательных  организаций,  дошкольных образовательных организаций и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объектов  здравоохранения  может  быть  увеличено  до 3,0, но не более, при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выполнении  одного  из  следующих  условий  за  счет  внебюджетных  средств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  <w:r w:rsidRPr="008A6CD4">
        <w:rPr>
          <w:rFonts w:ascii="Times New Roman" w:hAnsi="Times New Roman" w:cs="Times New Roman"/>
          <w:sz w:val="24"/>
          <w:szCs w:val="24"/>
        </w:rPr>
        <w:t>(средств инвестора):</w:t>
      </w:r>
    </w:p>
    <w:p w:rsidR="00780178" w:rsidRPr="008A6CD4" w:rsidRDefault="00780178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6CD4">
        <w:rPr>
          <w:rFonts w:ascii="Times New Roman" w:hAnsi="Times New Roman" w:cs="Times New Roman"/>
          <w:sz w:val="24"/>
          <w:szCs w:val="24"/>
        </w:rPr>
        <w:t>- расселение ветхого и (или) аварийного жилья;</w:t>
      </w:r>
      <w:r w:rsidR="008A6C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78" w:rsidRDefault="00780178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мероприятий в части ликвидации участков загрязнения (ликвидация экологического ущерба);</w:t>
      </w:r>
    </w:p>
    <w:p w:rsidR="008A6CD4" w:rsidRDefault="00780178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мероприятий по созданию общественных пространств или благоустроенных территорий общего пользования (скверы, парки, бульвары и т.д.) сверх нормативной потребности</w:t>
      </w:r>
      <w:r w:rsidR="008A6CD4">
        <w:rPr>
          <w:rFonts w:ascii="Times New Roman" w:hAnsi="Times New Roman" w:cs="Times New Roman"/>
          <w:sz w:val="24"/>
          <w:szCs w:val="24"/>
        </w:rPr>
        <w:t>;</w:t>
      </w:r>
    </w:p>
    <w:p w:rsidR="00780178" w:rsidRDefault="00780178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объектов социальной инфраструктуры в соответствии с нормативной потребностью при подтверждении имеющегося дефицита (в части объектов образования и здравоохранения);</w:t>
      </w:r>
    </w:p>
    <w:p w:rsidR="00780178" w:rsidRDefault="00780178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более 90% расчетного количества парковочных мест постоянного хранения в подземных стоянках до применения понижающего коэффициента.</w:t>
      </w:r>
    </w:p>
    <w:p w:rsidR="00425845" w:rsidRDefault="00425845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3B2" w:rsidRDefault="00425845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Местные нормативы дополнить главой </w:t>
      </w:r>
      <w:r w:rsidR="00AC43B2">
        <w:rPr>
          <w:rFonts w:ascii="Times New Roman" w:hAnsi="Times New Roman" w:cs="Times New Roman"/>
          <w:sz w:val="24"/>
          <w:szCs w:val="24"/>
        </w:rPr>
        <w:t>34 следующего содержания:</w:t>
      </w:r>
    </w:p>
    <w:p w:rsidR="00AC43B2" w:rsidRPr="00AC43B2" w:rsidRDefault="00AC43B2" w:rsidP="00AC43B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«Глава </w:t>
      </w:r>
      <w:r w:rsidRPr="00AC43B2">
        <w:rPr>
          <w:rFonts w:ascii="Times New Roman" w:hAnsi="Times New Roman" w:cs="Times New Roman"/>
          <w:sz w:val="24"/>
          <w:szCs w:val="24"/>
        </w:rPr>
        <w:t xml:space="preserve">34  </w:t>
      </w:r>
      <w:r w:rsidRPr="00AC43B2">
        <w:rPr>
          <w:rFonts w:ascii="Times New Roman" w:hAnsi="Times New Roman" w:cs="Times New Roman"/>
          <w:bCs/>
          <w:sz w:val="24"/>
          <w:szCs w:val="24"/>
        </w:rPr>
        <w:t>Расчетные показатели минимально допустимого уровня обеспеченности объектами обеспечения пожарной безопасности и расчетные показатели максимально допустимого уровня территориальной доступности таких объектов для населения</w:t>
      </w:r>
    </w:p>
    <w:p w:rsidR="00AC43B2" w:rsidRDefault="00AC43B2" w:rsidP="00AC43B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34.1 Размещение подразделений пожарной охраны на территориях городских и сельских населенных пунктов определяется с учетом требований </w:t>
      </w:r>
      <w:hyperlink r:id="rId17" w:history="1">
        <w:r w:rsidRPr="00AC43B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76</w:t>
        </w:r>
      </w:hyperlink>
      <w:r w:rsidRPr="00AC4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от 22 июля 2008 г. N 123-ФЗ "Технический регламент о требованиях пожарной безопасности" и "СП 11.13130.2009.</w:t>
      </w:r>
      <w:r w:rsidRPr="00AC4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8" w:history="1">
        <w:r w:rsidRPr="00AC43B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Свод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правил. Места дислокации подразделений пожарной охраны. Порядок и методика определения", утвержденного приказом МЧС РФ от 25 марта 2009 г. N 181.</w:t>
      </w:r>
    </w:p>
    <w:p w:rsidR="00AC43B2" w:rsidRDefault="00AC43B2" w:rsidP="00AC43B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Минимальное количество специальных пожарных автомобилей (в том числе в кварталах среднеэтажной и многоэтажной застройки), необходимое для укомплектования подразделений пожарной охраны, создаваемых для тушения пожаров и проведения аварийно-спасательных работ в населенных пунктах, определяется согласно </w:t>
      </w:r>
      <w:hyperlink r:id="rId19" w:history="1">
        <w:r w:rsidRPr="00AC43B2">
          <w:rPr>
            <w:rFonts w:ascii="Times New Roman" w:hAnsi="Times New Roman" w:cs="Times New Roman"/>
            <w:color w:val="000000" w:themeColor="text1"/>
            <w:sz w:val="24"/>
            <w:szCs w:val="24"/>
          </w:rPr>
          <w:t>Методике</w:t>
        </w:r>
      </w:hyperlink>
      <w:r w:rsidRPr="00AC43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расчета численности и технической оснащенности подразделений пожарной охраны, создаваемых для тушения пожаров и проведения аварийно-спасательных работ в населенных пунктах, утвержденной приказом МЧС России от 15 октября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 г. N 700.</w:t>
      </w:r>
    </w:p>
    <w:p w:rsidR="00AC43B2" w:rsidRDefault="00AC43B2" w:rsidP="00AC43B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подготовке документов территориального планирования и документации по планировке территории учитываются состояние и перспективы размещения объектов </w:t>
      </w:r>
      <w:r>
        <w:rPr>
          <w:rFonts w:ascii="Times New Roman" w:hAnsi="Times New Roman" w:cs="Times New Roman"/>
          <w:sz w:val="24"/>
          <w:szCs w:val="24"/>
        </w:rPr>
        <w:lastRenderedPageBreak/>
        <w:t>защиты, развитие границ территориальных зон, установленных правилами землепользования и застройки муниципального образования, за пределами расчетного срока, включая принципиальные решения по территориальному развитию, функциональному зонированию, планировочной структуре, инженерной и транспортной инфраструктурам, рациональному использованию природных ресурсов и охране окружающей среды.</w:t>
      </w:r>
      <w:proofErr w:type="gramEnd"/>
    </w:p>
    <w:p w:rsidR="00AC43B2" w:rsidRDefault="00AC43B2" w:rsidP="00AC43B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Обеспеченность территории пожарными депо осуществляется с учетом существующей и перспективной застройки и подтверждается согласованием с исполнительным органом Нижегородской области, осуществляющим мероприятия в области гражданской обороны, защиты населения и территорий от чрезвычайных ситуаций, предупреждения и ликвидации чрезвычайных ситуаций, пожарной безопасности и безопасности граждан на водных объектах на территории Нижегородской области, в рамках определенных законодательством полномочий Правительства Нижегородской области.</w:t>
      </w:r>
      <w:proofErr w:type="gramEnd"/>
    </w:p>
    <w:p w:rsidR="000F05BC" w:rsidRDefault="00AC43B2" w:rsidP="00AC43B2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7F1" w:rsidRDefault="00425845" w:rsidP="00AC43B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6CD4">
        <w:rPr>
          <w:rFonts w:ascii="Times New Roman" w:hAnsi="Times New Roman" w:cs="Times New Roman"/>
          <w:sz w:val="24"/>
          <w:szCs w:val="24"/>
        </w:rPr>
        <w:t xml:space="preserve">. </w:t>
      </w:r>
      <w:r w:rsidR="006C0203">
        <w:rPr>
          <w:rFonts w:ascii="Times New Roman" w:hAnsi="Times New Roman" w:cs="Times New Roman"/>
          <w:sz w:val="24"/>
          <w:szCs w:val="24"/>
        </w:rPr>
        <w:t>В разделе XIII приложени</w:t>
      </w:r>
      <w:r w:rsidR="00BC1883">
        <w:rPr>
          <w:rFonts w:ascii="Times New Roman" w:hAnsi="Times New Roman" w:cs="Times New Roman"/>
          <w:sz w:val="24"/>
          <w:szCs w:val="24"/>
        </w:rPr>
        <w:t>е</w:t>
      </w:r>
      <w:r w:rsidR="00E1527F">
        <w:rPr>
          <w:rFonts w:ascii="Times New Roman" w:hAnsi="Times New Roman" w:cs="Times New Roman"/>
          <w:sz w:val="24"/>
          <w:szCs w:val="24"/>
        </w:rPr>
        <w:t xml:space="preserve"> №1</w:t>
      </w:r>
      <w:r w:rsidR="00BC1883">
        <w:rPr>
          <w:rFonts w:ascii="Times New Roman" w:hAnsi="Times New Roman" w:cs="Times New Roman"/>
          <w:sz w:val="24"/>
          <w:szCs w:val="24"/>
        </w:rPr>
        <w:t xml:space="preserve"> </w:t>
      </w:r>
      <w:r w:rsidR="00D570EF">
        <w:rPr>
          <w:rFonts w:ascii="Times New Roman" w:hAnsi="Times New Roman" w:cs="Times New Roman"/>
          <w:sz w:val="24"/>
          <w:szCs w:val="24"/>
        </w:rPr>
        <w:t>дополнить  абзацами следующего содержания:</w:t>
      </w:r>
    </w:p>
    <w:p w:rsidR="000E71E2" w:rsidRDefault="000E71E2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C43B2">
        <w:rPr>
          <w:rFonts w:ascii="Times New Roman" w:hAnsi="Times New Roman" w:cs="Times New Roman"/>
          <w:b/>
          <w:sz w:val="24"/>
          <w:szCs w:val="24"/>
        </w:rPr>
        <w:t>велокоммуникации</w:t>
      </w:r>
      <w:r w:rsidRPr="00AC43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коммуникации в виде велосипедных дорожек или велосипедных полос, предназначенные для движения велосипедистов и лиц, использующих для передвижения средства индивидуальной мобильности;</w:t>
      </w:r>
    </w:p>
    <w:p w:rsidR="00D570EF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Нижегородской области от 22.05.2025 N 365)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0EF">
        <w:rPr>
          <w:rFonts w:ascii="Times New Roman" w:hAnsi="Times New Roman" w:cs="Times New Roman"/>
          <w:b/>
          <w:sz w:val="24"/>
          <w:szCs w:val="24"/>
        </w:rPr>
        <w:t xml:space="preserve">средство индивидуальной мобильности </w:t>
      </w:r>
      <w:r>
        <w:rPr>
          <w:rFonts w:ascii="Times New Roman" w:hAnsi="Times New Roman" w:cs="Times New Roman"/>
          <w:sz w:val="24"/>
          <w:szCs w:val="24"/>
        </w:rPr>
        <w:t>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сегвеи, моноколеса и иные аналогичные средства);</w:t>
      </w:r>
    </w:p>
    <w:p w:rsidR="00D570EF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Нижегородской области от 22.05.2025 N 365)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70EF">
        <w:rPr>
          <w:rFonts w:ascii="Times New Roman" w:hAnsi="Times New Roman" w:cs="Times New Roman"/>
          <w:b/>
          <w:sz w:val="24"/>
          <w:szCs w:val="24"/>
        </w:rPr>
        <w:t>велосипедная дорожка</w:t>
      </w:r>
      <w:r>
        <w:rPr>
          <w:rFonts w:ascii="Times New Roman" w:hAnsi="Times New Roman" w:cs="Times New Roman"/>
          <w:sz w:val="24"/>
          <w:szCs w:val="24"/>
        </w:rPr>
        <w:t xml:space="preserve"> (далее также - велодорожка) - обособленная дорога, расположенная вне проезжей части непосредственно возле тротуара или возле проезжей части, с отделением движения велосипедистов и лиц, использующих для передвижения средства индивидуальной мобильности, от тротуара и (или) проезжей части, в том числе с помощью технических средств организации дорожного движения, элементов благоустройства, либо изолированная дорога, расположенная вне проезжей части и тротуара, предназначенная только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движения велосипедистов и лиц, использующих для передвижения средства индивидуальной мобильности;</w:t>
      </w:r>
    </w:p>
    <w:p w:rsidR="00D570EF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постановления</w:t>
        </w:r>
      </w:hyperlink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Нижегородской области от 22.05.2025 N 365)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70EF">
        <w:rPr>
          <w:rFonts w:ascii="Times New Roman" w:hAnsi="Times New Roman" w:cs="Times New Roman"/>
          <w:b/>
          <w:sz w:val="24"/>
          <w:szCs w:val="24"/>
        </w:rPr>
        <w:t>велосипедная полоса (далее - велополосы)</w:t>
      </w:r>
      <w:r>
        <w:rPr>
          <w:rFonts w:ascii="Times New Roman" w:hAnsi="Times New Roman" w:cs="Times New Roman"/>
          <w:sz w:val="24"/>
          <w:szCs w:val="24"/>
        </w:rPr>
        <w:t xml:space="preserve"> - полоса, выделенная на проезжей части дороги или улицы разметкой и предназначенная исключительно для движения велосипедистов и лиц, использующих для передвижения средства индивидуальной мобильности;</w:t>
      </w:r>
    </w:p>
    <w:p w:rsidR="00D570EF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(абзац введен</w:t>
      </w:r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3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22.05.2025 N 365)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70EF">
        <w:rPr>
          <w:rFonts w:ascii="Times New Roman" w:hAnsi="Times New Roman" w:cs="Times New Roman"/>
          <w:b/>
          <w:sz w:val="24"/>
          <w:szCs w:val="24"/>
        </w:rPr>
        <w:t>поперечный профиль</w:t>
      </w:r>
      <w:r>
        <w:rPr>
          <w:rFonts w:ascii="Times New Roman" w:hAnsi="Times New Roman" w:cs="Times New Roman"/>
          <w:sz w:val="24"/>
          <w:szCs w:val="24"/>
        </w:rPr>
        <w:t xml:space="preserve"> - поперечное сечение улицы или дороги, которое, в зависимости от категории, включает: проезжую часть, боковые проезды, тротуары (пешеходные, технические), велокоммуникации, полосы озеленения, полосы размещения ограждений, полосы безопасности, краевые и разделительные полосы, переходно-скоростные полосы, зоны озеленения, обочины, а также зоны для размещения инженерных коммуникаций и другие элементы;</w:t>
      </w:r>
      <w:proofErr w:type="gramEnd"/>
    </w:p>
    <w:p w:rsidR="00D570EF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(абзац введен </w:t>
      </w:r>
      <w:hyperlink r:id="rId24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22.05.2025 N 365)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1E2">
        <w:rPr>
          <w:rFonts w:ascii="Times New Roman" w:hAnsi="Times New Roman" w:cs="Times New Roman"/>
          <w:b/>
          <w:sz w:val="24"/>
          <w:szCs w:val="24"/>
        </w:rPr>
        <w:t>суммарная поэтажная площадь здания</w:t>
      </w:r>
      <w:r>
        <w:rPr>
          <w:rFonts w:ascii="Times New Roman" w:hAnsi="Times New Roman" w:cs="Times New Roman"/>
          <w:sz w:val="24"/>
          <w:szCs w:val="24"/>
        </w:rPr>
        <w:t xml:space="preserve"> - площадь здания, которая определяется как сумма площадей всех наземных этажей зданий в габаритах наружных стен, включая технический, мансардный, а также цокольный этаж, если верх его перекрытия находится выше средней планировочной отметки земли не менее чем на 2 м, в которую также включается площадь антресолей, галерей, зрительных балконов и других залов, веранд, лоджий и балконов, наружных застекленных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галерей, а также переходов в другие здания;</w:t>
      </w:r>
    </w:p>
    <w:p w:rsidR="00D570EF" w:rsidRP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>площадь многоквартирного дома</w:t>
      </w:r>
      <w:r>
        <w:rPr>
          <w:rFonts w:ascii="Times New Roman" w:hAnsi="Times New Roman" w:cs="Times New Roman"/>
          <w:sz w:val="24"/>
          <w:szCs w:val="24"/>
        </w:rPr>
        <w:t xml:space="preserve"> - сумма площадей этажей в многоквартирном доме, измеряемая между внутренними поверхностями наружных стен на высоте от нуля до 1,10 м от уровня пола, при наклонных наружных стенах - на уровне пола (без учета плинтусов), с учетом особенностей, предусмотренных </w:t>
      </w:r>
      <w:hyperlink r:id="rId25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  <w:proofErr w:type="gramStart"/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А</w:t>
        </w:r>
        <w:proofErr w:type="gramEnd"/>
      </w:hyperlink>
      <w:r w:rsidR="00425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 54.13330.2022 "СНиП 31-01-2003. Здания жилые многоквартирные", утвержденного </w:t>
      </w:r>
      <w:hyperlink r:id="rId26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строительства и жилищно-коммунального хозяйства Российской Федерации от 13 мая 2022 г. N 361/</w:t>
      </w:r>
      <w:proofErr w:type="gramStart"/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gramEnd"/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570EF" w:rsidRP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C43B2">
        <w:rPr>
          <w:rFonts w:ascii="Times New Roman" w:hAnsi="Times New Roman" w:cs="Times New Roman"/>
          <w:b/>
          <w:sz w:val="24"/>
          <w:szCs w:val="24"/>
        </w:rPr>
        <w:t>площадь общественного здания, сооружения</w:t>
      </w:r>
      <w:r>
        <w:rPr>
          <w:rFonts w:ascii="Times New Roman" w:hAnsi="Times New Roman" w:cs="Times New Roman"/>
          <w:sz w:val="24"/>
          <w:szCs w:val="24"/>
        </w:rPr>
        <w:t xml:space="preserve"> - сумма площадей всех этажей общественного здания, сооружения (включая технический, мансардный, цокольный, подвальный и иные), определяемая в пределах внутренних поверхностей наружных стен, а также эксплуатируемой кровли, с учетом особенностей, предусмотренных </w:t>
      </w:r>
      <w:hyperlink r:id="rId27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СП 118.13330.2022</w:t>
        </w:r>
      </w:hyperlink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"Свод правил.</w:t>
      </w:r>
      <w:proofErr w:type="gramEnd"/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Общественные здания и сооружения. СНиП 31-06-2009", утвержденного </w:t>
      </w:r>
      <w:hyperlink r:id="rId28" w:history="1">
        <w:r w:rsidRPr="00D570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строительства и жилищно-коммунального хозяйства Российской Федерации от 19 мая 2022 г. N 389/</w:t>
      </w:r>
      <w:proofErr w:type="gramStart"/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proofErr w:type="gramEnd"/>
      <w:r w:rsidRPr="00D570E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>"Двор без машин"</w:t>
      </w:r>
      <w:r>
        <w:rPr>
          <w:rFonts w:ascii="Times New Roman" w:hAnsi="Times New Roman" w:cs="Times New Roman"/>
          <w:sz w:val="24"/>
          <w:szCs w:val="24"/>
        </w:rPr>
        <w:t xml:space="preserve"> - концепция организации приватной придомовой территории жилой группы, которая исключает проезд на такую территорию какого-либо автотранспорта, за исключением автомобилей специальных служб;</w:t>
      </w:r>
    </w:p>
    <w:p w:rsidR="00D570EF" w:rsidRPr="000E71E2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проблемные объекты - многоквартирные дома и (или) иные объекты недвижимости, сведения о которых включены в единый реестр проблемных объектов и (или) содержатся в реестре граждан, пострадавших от действий (бездействия) застройщиков, привлекающих денежные средства граждан для строительства многоквартирных домов, на территории Нижегородской области, или застройщик которых признан несостоятельным (банкротом) и при его банкротстве применены правила </w:t>
      </w:r>
      <w:hyperlink r:id="rId29" w:history="1">
        <w:r w:rsidRPr="000E71E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параграфа 7</w:t>
        </w:r>
      </w:hyperlink>
      <w:r w:rsidRPr="000E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"Банкротство застройщиков" Федерального закона от</w:t>
      </w:r>
      <w:proofErr w:type="gramEnd"/>
      <w:r w:rsidRPr="000E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 октября 2002 г. N 127-ФЗ "О несостоятельности (банкротстве)";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>парковочное место</w:t>
      </w:r>
      <w:r>
        <w:rPr>
          <w:rFonts w:ascii="Times New Roman" w:hAnsi="Times New Roman" w:cs="Times New Roman"/>
          <w:sz w:val="24"/>
          <w:szCs w:val="24"/>
        </w:rPr>
        <w:t xml:space="preserve"> - специально обозначенное и при необходимости обустроенное и оборудованное место,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являющееся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участка;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3B2">
        <w:rPr>
          <w:rFonts w:ascii="Times New Roman" w:hAnsi="Times New Roman" w:cs="Times New Roman"/>
          <w:b/>
          <w:sz w:val="24"/>
          <w:szCs w:val="24"/>
        </w:rPr>
        <w:t>стоянка автомобилей</w:t>
      </w:r>
      <w:r>
        <w:rPr>
          <w:rFonts w:ascii="Times New Roman" w:hAnsi="Times New Roman" w:cs="Times New Roman"/>
          <w:sz w:val="24"/>
          <w:szCs w:val="24"/>
        </w:rPr>
        <w:t xml:space="preserve"> (стоянка, паркинг, парковка, гараж, гараж-стоянка) - здание, сооружение (часть здания, сооружения) или специальная открытая площадка (плоскостная стоянка открытого типа), предназначенная для хранения (стоянки) легковых автомобилей и других мототранспортных средств (мотоциклов, мотороллеров, мотоколясок, мопедов, скутеров и т.п.).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Стоянка автомобилей включает следующие виды: встроенные, встроенно-пристроенные, отдельно стоящие, пристроенные, подземные, наземные </w:t>
      </w:r>
      <w:r>
        <w:rPr>
          <w:rFonts w:ascii="Times New Roman" w:hAnsi="Times New Roman" w:cs="Times New Roman"/>
          <w:sz w:val="24"/>
          <w:szCs w:val="24"/>
        </w:rPr>
        <w:lastRenderedPageBreak/>
        <w:t>закрытого типа, плоскостные открытого типа, открытого типа, модульные, быстровозводимые, плавучие (дебаркадерные), механизированные, полумеханизированные (обвалованные, перехватывающие);</w:t>
      </w:r>
      <w:proofErr w:type="gramEnd"/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>парковка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- парковка (парковочное место), предназначенная для использования неограниченным кругом лиц;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>постоянное хранение транспортного средства</w:t>
      </w:r>
      <w:r>
        <w:rPr>
          <w:rFonts w:ascii="Times New Roman" w:hAnsi="Times New Roman" w:cs="Times New Roman"/>
          <w:sz w:val="24"/>
          <w:szCs w:val="24"/>
        </w:rPr>
        <w:t xml:space="preserve"> - длительное (более 12 часов) пребывание транспортного средства на парковке;</w:t>
      </w:r>
    </w:p>
    <w:p w:rsidR="00D570EF" w:rsidRDefault="00D570EF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 xml:space="preserve">временное хранение транспортного средства </w:t>
      </w:r>
      <w:r>
        <w:rPr>
          <w:rFonts w:ascii="Times New Roman" w:hAnsi="Times New Roman" w:cs="Times New Roman"/>
          <w:sz w:val="24"/>
          <w:szCs w:val="24"/>
        </w:rPr>
        <w:t>- пребывание транспортного средства на парковке менее 12 часов.</w:t>
      </w:r>
    </w:p>
    <w:p w:rsidR="00D570EF" w:rsidRPr="000E71E2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3B2">
        <w:rPr>
          <w:rFonts w:ascii="Times New Roman" w:hAnsi="Times New Roman" w:cs="Times New Roman"/>
          <w:b/>
          <w:sz w:val="24"/>
          <w:szCs w:val="24"/>
        </w:rPr>
        <w:t xml:space="preserve">    территории  инвестиционного  развития</w:t>
      </w:r>
      <w:r w:rsidRPr="000E71E2">
        <w:rPr>
          <w:rFonts w:ascii="Times New Roman" w:hAnsi="Times New Roman" w:cs="Times New Roman"/>
          <w:sz w:val="24"/>
          <w:szCs w:val="24"/>
        </w:rPr>
        <w:t xml:space="preserve">  - территории, в границах которых</w:t>
      </w:r>
    </w:p>
    <w:p w:rsidR="00D570EF" w:rsidRPr="000E71E2" w:rsidRDefault="00D570EF" w:rsidP="004258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E71E2">
        <w:rPr>
          <w:rFonts w:ascii="Times New Roman" w:hAnsi="Times New Roman" w:cs="Times New Roman"/>
          <w:sz w:val="24"/>
          <w:szCs w:val="24"/>
        </w:rPr>
        <w:t>земельные  участки,  находящиеся  в  собственности Нижегородской области, а</w:t>
      </w:r>
      <w:r w:rsidR="000E71E2">
        <w:rPr>
          <w:rFonts w:ascii="Times New Roman" w:hAnsi="Times New Roman" w:cs="Times New Roman"/>
          <w:sz w:val="24"/>
          <w:szCs w:val="24"/>
        </w:rPr>
        <w:t xml:space="preserve"> </w:t>
      </w:r>
      <w:r w:rsidRPr="000E71E2">
        <w:rPr>
          <w:rFonts w:ascii="Times New Roman" w:hAnsi="Times New Roman" w:cs="Times New Roman"/>
          <w:sz w:val="24"/>
          <w:szCs w:val="24"/>
        </w:rPr>
        <w:t>также  земельные  участки,  государственная  собственность  на  которые  не</w:t>
      </w:r>
      <w:r w:rsidR="000E71E2">
        <w:rPr>
          <w:rFonts w:ascii="Times New Roman" w:hAnsi="Times New Roman" w:cs="Times New Roman"/>
          <w:sz w:val="24"/>
          <w:szCs w:val="24"/>
        </w:rPr>
        <w:t xml:space="preserve"> </w:t>
      </w:r>
      <w:r w:rsidRPr="000E71E2">
        <w:rPr>
          <w:rFonts w:ascii="Times New Roman" w:hAnsi="Times New Roman" w:cs="Times New Roman"/>
          <w:sz w:val="24"/>
          <w:szCs w:val="24"/>
        </w:rPr>
        <w:t>разграничена,  предоставляются  юридическим  лицам  в аренду без проведения</w:t>
      </w:r>
      <w:r w:rsidR="000E71E2">
        <w:rPr>
          <w:rFonts w:ascii="Times New Roman" w:hAnsi="Times New Roman" w:cs="Times New Roman"/>
          <w:sz w:val="24"/>
          <w:szCs w:val="24"/>
        </w:rPr>
        <w:t xml:space="preserve"> </w:t>
      </w:r>
      <w:r w:rsidRPr="000E71E2">
        <w:rPr>
          <w:rFonts w:ascii="Times New Roman" w:hAnsi="Times New Roman" w:cs="Times New Roman"/>
          <w:sz w:val="24"/>
          <w:szCs w:val="24"/>
        </w:rPr>
        <w:t xml:space="preserve">   </w:t>
      </w:r>
      <w:r w:rsidR="000E71E2">
        <w:rPr>
          <w:rFonts w:ascii="Times New Roman" w:hAnsi="Times New Roman" w:cs="Times New Roman"/>
          <w:sz w:val="24"/>
          <w:szCs w:val="24"/>
        </w:rPr>
        <w:t xml:space="preserve">   </w:t>
      </w:r>
      <w:r w:rsidRPr="000E71E2">
        <w:rPr>
          <w:rFonts w:ascii="Times New Roman" w:hAnsi="Times New Roman" w:cs="Times New Roman"/>
          <w:sz w:val="24"/>
          <w:szCs w:val="24"/>
        </w:rPr>
        <w:t xml:space="preserve">торгов  в  соответствии  </w:t>
      </w:r>
      <w:r w:rsidRPr="000E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30" w:history="1">
        <w:r w:rsidRPr="000E71E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8 части 4 статьи 8</w:t>
        </w:r>
      </w:hyperlink>
      <w:r w:rsidRPr="000E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Закона Нижегородской</w:t>
      </w:r>
      <w:r w:rsidR="000E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71E2">
        <w:rPr>
          <w:rFonts w:ascii="Times New Roman" w:hAnsi="Times New Roman" w:cs="Times New Roman"/>
          <w:color w:val="000000" w:themeColor="text1"/>
          <w:sz w:val="24"/>
          <w:szCs w:val="24"/>
        </w:rPr>
        <w:t>области  от 13 декабря 2005 г. N 192-З "О регулировании земельных отношений</w:t>
      </w:r>
      <w:r w:rsidR="000E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71E2">
        <w:rPr>
          <w:rFonts w:ascii="Times New Roman" w:hAnsi="Times New Roman" w:cs="Times New Roman"/>
          <w:color w:val="000000" w:themeColor="text1"/>
          <w:sz w:val="24"/>
          <w:szCs w:val="24"/>
        </w:rPr>
        <w:t>в Нижегородской области".</w:t>
      </w:r>
      <w:proofErr w:type="gramEnd"/>
    </w:p>
    <w:p w:rsidR="00EE07F1" w:rsidRPr="000E71E2" w:rsidRDefault="00BB5B1E" w:rsidP="0042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</w:p>
    <w:sectPr w:rsidR="00EE07F1" w:rsidRPr="000E71E2" w:rsidSect="0042584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95004"/>
    <w:multiLevelType w:val="hybridMultilevel"/>
    <w:tmpl w:val="20ACA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8A1"/>
    <w:rsid w:val="0003553A"/>
    <w:rsid w:val="000E71E2"/>
    <w:rsid w:val="000F05BC"/>
    <w:rsid w:val="001C11BF"/>
    <w:rsid w:val="002028B2"/>
    <w:rsid w:val="00263FAB"/>
    <w:rsid w:val="002C2C21"/>
    <w:rsid w:val="00333263"/>
    <w:rsid w:val="00401E49"/>
    <w:rsid w:val="00425845"/>
    <w:rsid w:val="004B65BB"/>
    <w:rsid w:val="00545B6E"/>
    <w:rsid w:val="00581A93"/>
    <w:rsid w:val="005F04A3"/>
    <w:rsid w:val="006648A1"/>
    <w:rsid w:val="006A73C4"/>
    <w:rsid w:val="006C0203"/>
    <w:rsid w:val="0070232C"/>
    <w:rsid w:val="00780178"/>
    <w:rsid w:val="007F32F7"/>
    <w:rsid w:val="0081372A"/>
    <w:rsid w:val="008A6CD4"/>
    <w:rsid w:val="008D33F6"/>
    <w:rsid w:val="009E2D43"/>
    <w:rsid w:val="00A63856"/>
    <w:rsid w:val="00AC43B2"/>
    <w:rsid w:val="00B731AB"/>
    <w:rsid w:val="00BB5B1E"/>
    <w:rsid w:val="00BC1883"/>
    <w:rsid w:val="00BE1CC6"/>
    <w:rsid w:val="00C40DB0"/>
    <w:rsid w:val="00CB70B3"/>
    <w:rsid w:val="00CE499D"/>
    <w:rsid w:val="00D570EF"/>
    <w:rsid w:val="00DE7A5C"/>
    <w:rsid w:val="00E1527F"/>
    <w:rsid w:val="00E268EE"/>
    <w:rsid w:val="00E7069C"/>
    <w:rsid w:val="00EE07F1"/>
    <w:rsid w:val="00F155B0"/>
    <w:rsid w:val="00F16EF9"/>
    <w:rsid w:val="00F75393"/>
    <w:rsid w:val="00FE4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BB"/>
  </w:style>
  <w:style w:type="paragraph" w:styleId="2">
    <w:name w:val="heading 2"/>
    <w:basedOn w:val="a"/>
    <w:link w:val="20"/>
    <w:uiPriority w:val="9"/>
    <w:qFormat/>
    <w:rsid w:val="00F75393"/>
    <w:pPr>
      <w:keepNext/>
      <w:spacing w:before="198"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75393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F75393"/>
    <w:pPr>
      <w:spacing w:before="100" w:beforeAutospacing="1" w:after="19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75393"/>
    <w:pPr>
      <w:spacing w:before="100" w:beforeAutospacing="1" w:after="198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95" TargetMode="External"/><Relationship Id="rId13" Type="http://schemas.openxmlformats.org/officeDocument/2006/relationships/hyperlink" Target="https://login.consultant.ru/link/?req=doc&amp;base=RLAW187&amp;n=339898&amp;dst=100608" TargetMode="External"/><Relationship Id="rId18" Type="http://schemas.openxmlformats.org/officeDocument/2006/relationships/hyperlink" Target="https://login.consultant.ru/link/?req=doc&amp;base=LAW&amp;n=109933&amp;dst=100003" TargetMode="External"/><Relationship Id="rId26" Type="http://schemas.openxmlformats.org/officeDocument/2006/relationships/hyperlink" Target="https://login.consultant.ru/link/?req=doc&amp;base=LAW&amp;n=4212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7&amp;n=317991&amp;dst=100017" TargetMode="External"/><Relationship Id="rId7" Type="http://schemas.openxmlformats.org/officeDocument/2006/relationships/hyperlink" Target="https://login.consultant.ru/link/?req=doc&amp;base=LAW&amp;n=316849" TargetMode="External"/><Relationship Id="rId12" Type="http://schemas.openxmlformats.org/officeDocument/2006/relationships/hyperlink" Target="https://login.consultant.ru/link/?req=doc&amp;base=LAW&amp;n=533471&amp;dst=100268" TargetMode="External"/><Relationship Id="rId17" Type="http://schemas.openxmlformats.org/officeDocument/2006/relationships/hyperlink" Target="https://login.consultant.ru/link/?req=doc&amp;base=LAW&amp;n=511695&amp;dst=159" TargetMode="External"/><Relationship Id="rId25" Type="http://schemas.openxmlformats.org/officeDocument/2006/relationships/hyperlink" Target="https://login.consultant.ru/link/?req=doc&amp;base=STR&amp;n=34874&amp;dst=1006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87&amp;n=339898&amp;dst=100620" TargetMode="External"/><Relationship Id="rId20" Type="http://schemas.openxmlformats.org/officeDocument/2006/relationships/hyperlink" Target="https://login.consultant.ru/link/?req=doc&amp;base=RLAW187&amp;n=317991&amp;dst=100015" TargetMode="External"/><Relationship Id="rId29" Type="http://schemas.openxmlformats.org/officeDocument/2006/relationships/hyperlink" Target="https://login.consultant.ru/link/?req=doc&amp;base=LAW&amp;n=531404&amp;dst=21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TR&amp;n=35010&amp;dst=104309" TargetMode="External"/><Relationship Id="rId11" Type="http://schemas.openxmlformats.org/officeDocument/2006/relationships/hyperlink" Target="https://login.consultant.ru/link/?req=doc&amp;base=RLAW187&amp;n=318306&amp;dst=100682" TargetMode="External"/><Relationship Id="rId24" Type="http://schemas.openxmlformats.org/officeDocument/2006/relationships/hyperlink" Target="https://login.consultant.ru/link/?req=doc&amp;base=RLAW187&amp;n=317991&amp;dst=10002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18854" TargetMode="External"/><Relationship Id="rId15" Type="http://schemas.openxmlformats.org/officeDocument/2006/relationships/hyperlink" Target="https://login.consultant.ru/link/?req=doc&amp;base=RLAW187&amp;n=339898&amp;dst=100610" TargetMode="External"/><Relationship Id="rId23" Type="http://schemas.openxmlformats.org/officeDocument/2006/relationships/hyperlink" Target="https://login.consultant.ru/link/?req=doc&amp;base=RLAW187&amp;n=317991&amp;dst=100019" TargetMode="External"/><Relationship Id="rId28" Type="http://schemas.openxmlformats.org/officeDocument/2006/relationships/hyperlink" Target="https://login.consultant.ru/link/?req=doc&amp;base=LAW&amp;n=421241" TargetMode="External"/><Relationship Id="rId10" Type="http://schemas.openxmlformats.org/officeDocument/2006/relationships/hyperlink" Target="https://login.consultant.ru/link/?req=doc&amp;base=LAW&amp;n=525499&amp;dst=100013" TargetMode="External"/><Relationship Id="rId19" Type="http://schemas.openxmlformats.org/officeDocument/2006/relationships/hyperlink" Target="https://login.consultant.ru/link/?req=doc&amp;base=LAW&amp;n=402080&amp;dst=10001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997&amp;dst=100002" TargetMode="External"/><Relationship Id="rId14" Type="http://schemas.openxmlformats.org/officeDocument/2006/relationships/hyperlink" Target="https://login.consultant.ru/link/?req=doc&amp;base=RLAW187&amp;n=339898&amp;dst=100609" TargetMode="External"/><Relationship Id="rId22" Type="http://schemas.openxmlformats.org/officeDocument/2006/relationships/hyperlink" Target="https://login.consultant.ru/link/?req=doc&amp;base=RLAW187&amp;n=317991&amp;dst=100018" TargetMode="External"/><Relationship Id="rId27" Type="http://schemas.openxmlformats.org/officeDocument/2006/relationships/hyperlink" Target="https://login.consultant.ru/link/?req=doc&amp;base=STR&amp;n=34858" TargetMode="External"/><Relationship Id="rId30" Type="http://schemas.openxmlformats.org/officeDocument/2006/relationships/hyperlink" Target="https://login.consultant.ru/link/?req=doc&amp;base=RLAW187&amp;n=339898&amp;dst=1006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8293</Words>
  <Characters>47272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10</cp:revision>
  <cp:lastPrinted>2026-06-04T08:18:00Z</cp:lastPrinted>
  <dcterms:created xsi:type="dcterms:W3CDTF">2026-06-02T07:49:00Z</dcterms:created>
  <dcterms:modified xsi:type="dcterms:W3CDTF">2026-06-04T08:18:00Z</dcterms:modified>
</cp:coreProperties>
</file>